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color w:val="000000"/>
        </w:rPr>
        <w:id w:val="-492795323"/>
        <w:docPartObj>
          <w:docPartGallery w:val="Cover Pages"/>
          <w:docPartUnique/>
        </w:docPartObj>
      </w:sdtPr>
      <w:sdtEndPr>
        <w:rPr>
          <w:rFonts w:ascii="Arial" w:eastAsia="Arial" w:hAnsi="Arial" w:cs="Arial"/>
          <w:caps w:val="0"/>
        </w:rPr>
      </w:sdtEndPr>
      <w:sdtContent>
        <w:tbl>
          <w:tblPr>
            <w:tblW w:w="5000" w:type="pct"/>
            <w:jc w:val="center"/>
            <w:tblLook w:val="04A0" w:firstRow="1" w:lastRow="0" w:firstColumn="1" w:lastColumn="0" w:noHBand="0" w:noVBand="1"/>
          </w:tblPr>
          <w:tblGrid>
            <w:gridCol w:w="9288"/>
          </w:tblGrid>
          <w:tr w:rsidR="00FF0413">
            <w:trPr>
              <w:trHeight w:val="2880"/>
              <w:jc w:val="center"/>
            </w:trPr>
            <w:tc>
              <w:tcPr>
                <w:tcW w:w="5000" w:type="pct"/>
              </w:tcPr>
              <w:p w:rsidR="00FF0413" w:rsidRDefault="00FF0413" w:rsidP="00FF0413">
                <w:pPr>
                  <w:pStyle w:val="Sansinterligne"/>
                  <w:jc w:val="center"/>
                  <w:rPr>
                    <w:rFonts w:asciiTheme="majorHAnsi" w:eastAsiaTheme="majorEastAsia" w:hAnsiTheme="majorHAnsi" w:cstheme="majorBidi"/>
                    <w:caps/>
                  </w:rPr>
                </w:pPr>
              </w:p>
            </w:tc>
          </w:tr>
          <w:tr w:rsidR="00FF0413">
            <w:trPr>
              <w:trHeight w:val="1440"/>
              <w:jc w:val="center"/>
            </w:trPr>
            <w:sdt>
              <w:sdtPr>
                <w:rPr>
                  <w:rFonts w:asciiTheme="majorHAnsi" w:eastAsiaTheme="majorEastAsia" w:hAnsiTheme="majorHAnsi" w:cstheme="majorBidi"/>
                  <w:sz w:val="52"/>
                  <w:szCs w:val="80"/>
                </w:rPr>
                <w:alias w:val="Titre"/>
                <w:id w:val="15524250"/>
                <w:placeholder>
                  <w:docPart w:val="B98606D6A6AD4B808B81D17C5222CCFF"/>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FF0413" w:rsidRDefault="00FF0413" w:rsidP="00FF0413">
                    <w:pPr>
                      <w:pStyle w:val="Sansinterligne"/>
                      <w:jc w:val="center"/>
                      <w:rPr>
                        <w:rFonts w:asciiTheme="majorHAnsi" w:eastAsiaTheme="majorEastAsia" w:hAnsiTheme="majorHAnsi" w:cstheme="majorBidi"/>
                        <w:sz w:val="80"/>
                        <w:szCs w:val="80"/>
                      </w:rPr>
                    </w:pPr>
                    <w:r w:rsidRPr="00FF0413">
                      <w:rPr>
                        <w:rFonts w:asciiTheme="majorHAnsi" w:eastAsiaTheme="majorEastAsia" w:hAnsiTheme="majorHAnsi" w:cstheme="majorBidi"/>
                        <w:sz w:val="52"/>
                        <w:szCs w:val="80"/>
                      </w:rPr>
                      <w:t>FICHE METHODE : COMPARAISON DES PÔLES</w:t>
                    </w:r>
                    <w:r w:rsidR="00C80408">
                      <w:rPr>
                        <w:rFonts w:asciiTheme="majorHAnsi" w:eastAsiaTheme="majorEastAsia" w:hAnsiTheme="majorHAnsi" w:cstheme="majorBidi"/>
                        <w:sz w:val="52"/>
                        <w:szCs w:val="80"/>
                      </w:rPr>
                      <w:t xml:space="preserve"> DE SERVICES</w:t>
                    </w:r>
                  </w:p>
                </w:tc>
              </w:sdtContent>
            </w:sdt>
          </w:tr>
          <w:tr w:rsidR="00FF0413">
            <w:trPr>
              <w:trHeight w:val="720"/>
              <w:jc w:val="center"/>
            </w:trPr>
            <w:sdt>
              <w:sdtPr>
                <w:rPr>
                  <w:rFonts w:asciiTheme="majorHAnsi" w:eastAsiaTheme="majorEastAsia" w:hAnsiTheme="majorHAnsi" w:cstheme="majorBidi"/>
                  <w:sz w:val="40"/>
                  <w:szCs w:val="44"/>
                </w:rPr>
                <w:alias w:val="Sous-titre"/>
                <w:id w:val="15524255"/>
                <w:placeholder>
                  <w:docPart w:val="75988357C4FC42F09F11D885A1C7A2B1"/>
                </w:placeholde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FF0413" w:rsidRDefault="00FF0413" w:rsidP="00FF0413">
                    <w:pPr>
                      <w:pStyle w:val="Sansinterligne"/>
                      <w:jc w:val="center"/>
                      <w:rPr>
                        <w:rFonts w:asciiTheme="majorHAnsi" w:eastAsiaTheme="majorEastAsia" w:hAnsiTheme="majorHAnsi" w:cstheme="majorBidi"/>
                        <w:sz w:val="44"/>
                        <w:szCs w:val="44"/>
                      </w:rPr>
                    </w:pPr>
                    <w:r w:rsidRPr="00FF0413">
                      <w:rPr>
                        <w:rFonts w:asciiTheme="majorHAnsi" w:eastAsiaTheme="majorEastAsia" w:hAnsiTheme="majorHAnsi" w:cstheme="majorBidi"/>
                        <w:sz w:val="40"/>
                        <w:szCs w:val="44"/>
                      </w:rPr>
                      <w:t>Juillet 2015</w:t>
                    </w:r>
                  </w:p>
                </w:tc>
              </w:sdtContent>
            </w:sdt>
          </w:tr>
          <w:tr w:rsidR="00FF0413">
            <w:trPr>
              <w:trHeight w:val="360"/>
              <w:jc w:val="center"/>
            </w:trPr>
            <w:tc>
              <w:tcPr>
                <w:tcW w:w="5000" w:type="pct"/>
                <w:vAlign w:val="center"/>
              </w:tcPr>
              <w:p w:rsidR="00FF0413" w:rsidRDefault="00FF0413">
                <w:pPr>
                  <w:pStyle w:val="Sansinterligne"/>
                  <w:jc w:val="center"/>
                </w:pPr>
              </w:p>
            </w:tc>
          </w:tr>
          <w:tr w:rsidR="00FF0413">
            <w:trPr>
              <w:trHeight w:val="360"/>
              <w:jc w:val="center"/>
            </w:trPr>
            <w:sdt>
              <w:sdtPr>
                <w:rPr>
                  <w:b/>
                  <w:bCs/>
                </w:rPr>
                <w:alias w:val="Auteur"/>
                <w:id w:val="15524260"/>
                <w:placeholder>
                  <w:docPart w:val="2D8EA730DAA14542BDA9F080B8A205D5"/>
                </w:placeholder>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FF0413" w:rsidRDefault="00FF0413">
                    <w:pPr>
                      <w:pStyle w:val="Sansinterligne"/>
                      <w:jc w:val="center"/>
                      <w:rPr>
                        <w:b/>
                        <w:bCs/>
                      </w:rPr>
                    </w:pPr>
                    <w:r>
                      <w:rPr>
                        <w:b/>
                        <w:bCs/>
                      </w:rPr>
                      <w:t>Sophie Christ</w:t>
                    </w:r>
                  </w:p>
                </w:tc>
              </w:sdtContent>
            </w:sdt>
          </w:tr>
          <w:tr w:rsidR="00FF0413">
            <w:trPr>
              <w:trHeight w:val="360"/>
              <w:jc w:val="center"/>
            </w:trPr>
            <w:tc>
              <w:tcPr>
                <w:tcW w:w="5000" w:type="pct"/>
                <w:vAlign w:val="center"/>
              </w:tcPr>
              <w:p w:rsidR="00FF0413" w:rsidRDefault="00FF0413">
                <w:pPr>
                  <w:pStyle w:val="Sansinterligne"/>
                  <w:jc w:val="center"/>
                  <w:rPr>
                    <w:b/>
                    <w:bCs/>
                  </w:rPr>
                </w:pPr>
                <w:r>
                  <w:rPr>
                    <w:rFonts w:asciiTheme="majorHAnsi" w:eastAsiaTheme="majorEastAsia" w:hAnsiTheme="majorHAnsi" w:cstheme="majorBidi"/>
                    <w:caps/>
                    <w:noProof/>
                  </w:rPr>
                  <w:drawing>
                    <wp:anchor distT="0" distB="0" distL="114300" distR="114300" simplePos="0" relativeHeight="251659264" behindDoc="0" locked="0" layoutInCell="1" allowOverlap="1" wp14:anchorId="0645A011" wp14:editId="381A7216">
                      <wp:simplePos x="0" y="0"/>
                      <wp:positionH relativeFrom="column">
                        <wp:posOffset>4479290</wp:posOffset>
                      </wp:positionH>
                      <wp:positionV relativeFrom="paragraph">
                        <wp:posOffset>5064760</wp:posOffset>
                      </wp:positionV>
                      <wp:extent cx="1640840" cy="459105"/>
                      <wp:effectExtent l="0" t="0" r="0" b="0"/>
                      <wp:wrapNone/>
                      <wp:docPr id="35" name="Image 35" descr="S:\Ressources Internes\Logothèque\AUTB\AUTB_logo+titre\par couleur thématique\sur fond transparent\logo_AUTB_couleur-PLU_v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essources Internes\Logothèque\AUTB\AUTB_logo+titre\par couleur thématique\sur fond transparent\logo_AUTB_couleur-PLU_v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0840" cy="4591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FF0413" w:rsidRDefault="00FF0413"/>
        <w:p w:rsidR="00FF0413" w:rsidRDefault="00FF0413">
          <w:r>
            <w:rPr>
              <w:noProof/>
            </w:rPr>
            <w:drawing>
              <wp:inline distT="0" distB="0" distL="0" distR="0" wp14:anchorId="69977B86" wp14:editId="736AB318">
                <wp:extent cx="6054090" cy="3639820"/>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54090" cy="3639820"/>
                        </a:xfrm>
                        <a:prstGeom prst="rect">
                          <a:avLst/>
                        </a:prstGeom>
                        <a:noFill/>
                      </pic:spPr>
                    </pic:pic>
                  </a:graphicData>
                </a:graphic>
              </wp:inline>
            </w:drawing>
          </w:r>
        </w:p>
        <w:tbl>
          <w:tblPr>
            <w:tblpPr w:leftFromText="187" w:rightFromText="187" w:horzAnchor="margin" w:tblpXSpec="center" w:tblpYSpec="bottom"/>
            <w:tblW w:w="5000" w:type="pct"/>
            <w:tblLook w:val="04A0" w:firstRow="1" w:lastRow="0" w:firstColumn="1" w:lastColumn="0" w:noHBand="0" w:noVBand="1"/>
          </w:tblPr>
          <w:tblGrid>
            <w:gridCol w:w="9288"/>
          </w:tblGrid>
          <w:tr w:rsidR="00FF0413">
            <w:tc>
              <w:tcPr>
                <w:tcW w:w="5000" w:type="pct"/>
              </w:tcPr>
              <w:p w:rsidR="00FF0413" w:rsidRDefault="00FF0413">
                <w:pPr>
                  <w:pStyle w:val="Sansinterligne"/>
                </w:pPr>
                <w:r>
                  <w:rPr>
                    <w:noProof/>
                  </w:rPr>
                  <w:drawing>
                    <wp:anchor distT="0" distB="0" distL="114300" distR="114300" simplePos="0" relativeHeight="251661312" behindDoc="0" locked="0" layoutInCell="1" allowOverlap="1" wp14:anchorId="5F65A3BE" wp14:editId="59478BF6">
                      <wp:simplePos x="0" y="0"/>
                      <wp:positionH relativeFrom="column">
                        <wp:posOffset>-78105</wp:posOffset>
                      </wp:positionH>
                      <wp:positionV relativeFrom="paragraph">
                        <wp:posOffset>-175260</wp:posOffset>
                      </wp:positionV>
                      <wp:extent cx="975869" cy="557763"/>
                      <wp:effectExtent l="0" t="0" r="0" b="0"/>
                      <wp:wrapNone/>
                      <wp:docPr id="36" name="Image 36" descr="http://aseau-unistra.e-monsite.com/medias/images/faculte-de-geographie-et-amenagement.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seau-unistra.e-monsite.com/medias/images/faculte-de-geographie-et-amenagement.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5869" cy="557763"/>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FF0413" w:rsidRDefault="00FF0413"/>
        <w:p w:rsidR="002C028C" w:rsidRPr="002C028C" w:rsidRDefault="00BA7E52" w:rsidP="002C028C">
          <w:pPr>
            <w:spacing w:before="0"/>
            <w:jc w:val="left"/>
          </w:pPr>
        </w:p>
      </w:sdtContent>
    </w:sdt>
    <w:p w:rsidR="002C028C" w:rsidRPr="002C028C" w:rsidRDefault="002C028C" w:rsidP="002C028C"/>
    <w:p w:rsidR="002C028C" w:rsidRDefault="002C028C" w:rsidP="002C028C">
      <w:pPr>
        <w:pStyle w:val="Sansinterligne"/>
        <w:spacing w:before="240"/>
        <w:rPr>
          <w:rFonts w:asciiTheme="majorHAnsi" w:hAnsiTheme="majorHAnsi"/>
          <w:color w:val="17365D" w:themeColor="text2" w:themeShade="BF"/>
          <w:sz w:val="32"/>
          <w:szCs w:val="32"/>
        </w:rPr>
      </w:pPr>
    </w:p>
    <w:p w:rsidR="002C028C" w:rsidRPr="002C028C" w:rsidRDefault="002C028C" w:rsidP="002C028C">
      <w:pPr>
        <w:pStyle w:val="Sansinterligne"/>
        <w:spacing w:before="240"/>
        <w:rPr>
          <w:rFonts w:asciiTheme="majorHAnsi" w:hAnsiTheme="majorHAnsi"/>
          <w:color w:val="17365D" w:themeColor="text2" w:themeShade="BF"/>
          <w:sz w:val="32"/>
          <w:szCs w:val="32"/>
        </w:rPr>
      </w:pPr>
      <w:r w:rsidRPr="002C028C">
        <w:rPr>
          <w:rFonts w:asciiTheme="majorHAnsi" w:hAnsiTheme="majorHAnsi"/>
          <w:color w:val="17365D" w:themeColor="text2" w:themeShade="BF"/>
          <w:sz w:val="32"/>
          <w:szCs w:val="32"/>
        </w:rPr>
        <w:t>SOMMAIRE</w:t>
      </w:r>
    </w:p>
    <w:p w:rsidR="002C028C" w:rsidRDefault="002C028C">
      <w:pPr>
        <w:spacing w:before="0"/>
        <w:jc w:val="left"/>
        <w:rPr>
          <w:rStyle w:val="Lienhypertexte"/>
          <w:rFonts w:asciiTheme="minorHAnsi" w:hAnsiTheme="minorHAnsi"/>
          <w:b/>
          <w:bCs/>
          <w:caps/>
          <w:noProof/>
        </w:rPr>
      </w:pPr>
    </w:p>
    <w:p w:rsidR="002C028C" w:rsidRDefault="002C028C">
      <w:pPr>
        <w:pStyle w:val="TM1"/>
        <w:tabs>
          <w:tab w:val="right" w:pos="9062"/>
        </w:tabs>
        <w:rPr>
          <w:rFonts w:eastAsiaTheme="minorEastAsia" w:cstheme="minorBidi"/>
          <w:b w:val="0"/>
          <w:bCs w:val="0"/>
          <w:caps w:val="0"/>
          <w:noProof/>
          <w:color w:val="auto"/>
          <w:u w:val="none"/>
        </w:rPr>
      </w:pPr>
      <w:r>
        <w:fldChar w:fldCharType="begin"/>
      </w:r>
      <w:r>
        <w:instrText xml:space="preserve"> TOC \o "1-3" \h \z \u </w:instrText>
      </w:r>
      <w:r>
        <w:fldChar w:fldCharType="separate"/>
      </w:r>
      <w:hyperlink w:anchor="_Toc425949943" w:history="1">
        <w:r w:rsidRPr="008F6E6B">
          <w:rPr>
            <w:rStyle w:val="Lienhypertexte"/>
            <w:noProof/>
          </w:rPr>
          <w:t>Objectif de l’analyse</w:t>
        </w:r>
        <w:r>
          <w:rPr>
            <w:noProof/>
            <w:webHidden/>
          </w:rPr>
          <w:tab/>
        </w:r>
        <w:r>
          <w:rPr>
            <w:noProof/>
            <w:webHidden/>
          </w:rPr>
          <w:fldChar w:fldCharType="begin"/>
        </w:r>
        <w:r>
          <w:rPr>
            <w:noProof/>
            <w:webHidden/>
          </w:rPr>
          <w:instrText xml:space="preserve"> PAGEREF _Toc425949943 \h </w:instrText>
        </w:r>
        <w:r>
          <w:rPr>
            <w:noProof/>
            <w:webHidden/>
          </w:rPr>
        </w:r>
        <w:r>
          <w:rPr>
            <w:noProof/>
            <w:webHidden/>
          </w:rPr>
          <w:fldChar w:fldCharType="separate"/>
        </w:r>
        <w:r w:rsidR="00BA7E52">
          <w:rPr>
            <w:noProof/>
            <w:webHidden/>
          </w:rPr>
          <w:t>2</w:t>
        </w:r>
        <w:r>
          <w:rPr>
            <w:noProof/>
            <w:webHidden/>
          </w:rPr>
          <w:fldChar w:fldCharType="end"/>
        </w:r>
      </w:hyperlink>
    </w:p>
    <w:p w:rsidR="002C028C" w:rsidRDefault="002C028C">
      <w:pPr>
        <w:pStyle w:val="TM1"/>
        <w:tabs>
          <w:tab w:val="right" w:pos="9062"/>
        </w:tabs>
        <w:rPr>
          <w:rFonts w:eastAsiaTheme="minorEastAsia" w:cstheme="minorBidi"/>
          <w:b w:val="0"/>
          <w:bCs w:val="0"/>
          <w:caps w:val="0"/>
          <w:noProof/>
          <w:color w:val="auto"/>
          <w:u w:val="none"/>
        </w:rPr>
      </w:pPr>
      <w:hyperlink w:anchor="_Toc425949944" w:history="1">
        <w:r w:rsidRPr="008F6E6B">
          <w:rPr>
            <w:rStyle w:val="Lienhypertexte"/>
            <w:noProof/>
          </w:rPr>
          <w:t>Quelles communes comparer entre elles ?</w:t>
        </w:r>
        <w:r>
          <w:rPr>
            <w:noProof/>
            <w:webHidden/>
          </w:rPr>
          <w:tab/>
        </w:r>
        <w:r>
          <w:rPr>
            <w:noProof/>
            <w:webHidden/>
          </w:rPr>
          <w:fldChar w:fldCharType="begin"/>
        </w:r>
        <w:r>
          <w:rPr>
            <w:noProof/>
            <w:webHidden/>
          </w:rPr>
          <w:instrText xml:space="preserve"> PAGEREF _Toc425949944 \h </w:instrText>
        </w:r>
        <w:r>
          <w:rPr>
            <w:noProof/>
            <w:webHidden/>
          </w:rPr>
        </w:r>
        <w:r>
          <w:rPr>
            <w:noProof/>
            <w:webHidden/>
          </w:rPr>
          <w:fldChar w:fldCharType="separate"/>
        </w:r>
        <w:r w:rsidR="00BA7E52">
          <w:rPr>
            <w:noProof/>
            <w:webHidden/>
          </w:rPr>
          <w:t>2</w:t>
        </w:r>
        <w:r>
          <w:rPr>
            <w:noProof/>
            <w:webHidden/>
          </w:rPr>
          <w:fldChar w:fldCharType="end"/>
        </w:r>
      </w:hyperlink>
    </w:p>
    <w:p w:rsidR="002C028C" w:rsidRDefault="002C028C">
      <w:pPr>
        <w:pStyle w:val="TM1"/>
        <w:tabs>
          <w:tab w:val="right" w:pos="9062"/>
        </w:tabs>
        <w:rPr>
          <w:rFonts w:eastAsiaTheme="minorEastAsia" w:cstheme="minorBidi"/>
          <w:b w:val="0"/>
          <w:bCs w:val="0"/>
          <w:caps w:val="0"/>
          <w:noProof/>
          <w:color w:val="auto"/>
          <w:u w:val="none"/>
        </w:rPr>
      </w:pPr>
      <w:hyperlink w:anchor="_Toc425949945" w:history="1">
        <w:r w:rsidRPr="008F6E6B">
          <w:rPr>
            <w:rStyle w:val="Lienhypertexte"/>
            <w:noProof/>
          </w:rPr>
          <w:t>Quel est l’indicateur de comparaison ?</w:t>
        </w:r>
        <w:r>
          <w:rPr>
            <w:noProof/>
            <w:webHidden/>
          </w:rPr>
          <w:tab/>
        </w:r>
        <w:r>
          <w:rPr>
            <w:noProof/>
            <w:webHidden/>
          </w:rPr>
          <w:fldChar w:fldCharType="begin"/>
        </w:r>
        <w:r>
          <w:rPr>
            <w:noProof/>
            <w:webHidden/>
          </w:rPr>
          <w:instrText xml:space="preserve"> PAGEREF _Toc425949945 \h </w:instrText>
        </w:r>
        <w:r>
          <w:rPr>
            <w:noProof/>
            <w:webHidden/>
          </w:rPr>
        </w:r>
        <w:r>
          <w:rPr>
            <w:noProof/>
            <w:webHidden/>
          </w:rPr>
          <w:fldChar w:fldCharType="separate"/>
        </w:r>
        <w:r w:rsidR="00BA7E52">
          <w:rPr>
            <w:noProof/>
            <w:webHidden/>
          </w:rPr>
          <w:t>4</w:t>
        </w:r>
        <w:r>
          <w:rPr>
            <w:noProof/>
            <w:webHidden/>
          </w:rPr>
          <w:fldChar w:fldCharType="end"/>
        </w:r>
      </w:hyperlink>
    </w:p>
    <w:p w:rsidR="002C028C" w:rsidRDefault="002C028C">
      <w:pPr>
        <w:pStyle w:val="TM1"/>
        <w:tabs>
          <w:tab w:val="right" w:pos="9062"/>
        </w:tabs>
        <w:rPr>
          <w:rFonts w:eastAsiaTheme="minorEastAsia" w:cstheme="minorBidi"/>
          <w:b w:val="0"/>
          <w:bCs w:val="0"/>
          <w:caps w:val="0"/>
          <w:noProof/>
          <w:color w:val="auto"/>
          <w:u w:val="none"/>
        </w:rPr>
      </w:pPr>
      <w:hyperlink w:anchor="_Toc425949946" w:history="1">
        <w:r w:rsidRPr="008F6E6B">
          <w:rPr>
            <w:rStyle w:val="Lienhypertexte"/>
            <w:noProof/>
          </w:rPr>
          <w:t>Quels résultats à afficher dans le PLU ?</w:t>
        </w:r>
        <w:r>
          <w:rPr>
            <w:noProof/>
            <w:webHidden/>
          </w:rPr>
          <w:tab/>
        </w:r>
        <w:r>
          <w:rPr>
            <w:noProof/>
            <w:webHidden/>
          </w:rPr>
          <w:fldChar w:fldCharType="begin"/>
        </w:r>
        <w:r>
          <w:rPr>
            <w:noProof/>
            <w:webHidden/>
          </w:rPr>
          <w:instrText xml:space="preserve"> PAGEREF _Toc425949946 \h </w:instrText>
        </w:r>
        <w:r>
          <w:rPr>
            <w:noProof/>
            <w:webHidden/>
          </w:rPr>
        </w:r>
        <w:r>
          <w:rPr>
            <w:noProof/>
            <w:webHidden/>
          </w:rPr>
          <w:fldChar w:fldCharType="separate"/>
        </w:r>
        <w:r w:rsidR="00BA7E52">
          <w:rPr>
            <w:noProof/>
            <w:webHidden/>
          </w:rPr>
          <w:t>5</w:t>
        </w:r>
        <w:r>
          <w:rPr>
            <w:noProof/>
            <w:webHidden/>
          </w:rPr>
          <w:fldChar w:fldCharType="end"/>
        </w:r>
      </w:hyperlink>
    </w:p>
    <w:p w:rsidR="002C028C" w:rsidRDefault="002C028C">
      <w:pPr>
        <w:pStyle w:val="TM1"/>
        <w:tabs>
          <w:tab w:val="right" w:pos="9062"/>
        </w:tabs>
        <w:rPr>
          <w:rFonts w:eastAsiaTheme="minorEastAsia" w:cstheme="minorBidi"/>
          <w:b w:val="0"/>
          <w:bCs w:val="0"/>
          <w:caps w:val="0"/>
          <w:noProof/>
          <w:color w:val="auto"/>
          <w:u w:val="none"/>
        </w:rPr>
      </w:pPr>
      <w:hyperlink w:anchor="_Toc425949947" w:history="1">
        <w:r w:rsidRPr="008F6E6B">
          <w:rPr>
            <w:rStyle w:val="Lienhypertexte"/>
            <w:noProof/>
          </w:rPr>
          <w:t>Limites de l’exercice</w:t>
        </w:r>
        <w:r>
          <w:rPr>
            <w:noProof/>
            <w:webHidden/>
          </w:rPr>
          <w:tab/>
        </w:r>
        <w:r>
          <w:rPr>
            <w:noProof/>
            <w:webHidden/>
          </w:rPr>
          <w:fldChar w:fldCharType="begin"/>
        </w:r>
        <w:r>
          <w:rPr>
            <w:noProof/>
            <w:webHidden/>
          </w:rPr>
          <w:instrText xml:space="preserve"> PAGEREF _Toc425949947 \h </w:instrText>
        </w:r>
        <w:r>
          <w:rPr>
            <w:noProof/>
            <w:webHidden/>
          </w:rPr>
        </w:r>
        <w:r>
          <w:rPr>
            <w:noProof/>
            <w:webHidden/>
          </w:rPr>
          <w:fldChar w:fldCharType="separate"/>
        </w:r>
        <w:r w:rsidR="00BA7E52">
          <w:rPr>
            <w:noProof/>
            <w:webHidden/>
          </w:rPr>
          <w:t>8</w:t>
        </w:r>
        <w:r>
          <w:rPr>
            <w:noProof/>
            <w:webHidden/>
          </w:rPr>
          <w:fldChar w:fldCharType="end"/>
        </w:r>
      </w:hyperlink>
    </w:p>
    <w:p w:rsidR="00FF0413" w:rsidRDefault="002C028C">
      <w:pPr>
        <w:spacing w:before="0"/>
        <w:jc w:val="left"/>
      </w:pPr>
      <w:r>
        <w:fldChar w:fldCharType="end"/>
      </w:r>
      <w:r w:rsidR="00FF0413">
        <w:br w:type="page"/>
      </w:r>
    </w:p>
    <w:p w:rsidR="00C80408" w:rsidRPr="00150234" w:rsidRDefault="00C80408" w:rsidP="002C028C">
      <w:pPr>
        <w:pStyle w:val="Titre1"/>
      </w:pPr>
      <w:bookmarkStart w:id="0" w:name="_Toc425949943"/>
      <w:r w:rsidRPr="00150234">
        <w:lastRenderedPageBreak/>
        <w:t>Objectif de l’analyse</w:t>
      </w:r>
      <w:bookmarkEnd w:id="0"/>
    </w:p>
    <w:p w:rsidR="00C80408" w:rsidRDefault="00F76930" w:rsidP="00D62094">
      <w:pPr>
        <w:spacing w:before="240"/>
      </w:pPr>
      <w:r>
        <w:t xml:space="preserve">Dans le cadre d’une analyse portant sur les équipements et les services d’une commune classée pôle de service, la comparaison de celle-ci avec d’autres pôles de services similaires permet d’évaluer un niveau général d’équipements et de services en créant un référentiel. Cela permet également de voir où se situe la commune en question par rapport aux autres notamment selon la thématique d’équipement analysées. </w:t>
      </w:r>
    </w:p>
    <w:p w:rsidR="00F76930" w:rsidRDefault="00F76930" w:rsidP="00C80408">
      <w:r>
        <w:t xml:space="preserve">En fonction des résultats, certains domaines d’équipements seront mis en avant pour leur faible développement par rapport au référentiel, ou au contraire mis en avant pour leur suréquipement. </w:t>
      </w:r>
    </w:p>
    <w:p w:rsidR="0029334C" w:rsidRDefault="0029334C" w:rsidP="0029334C"/>
    <w:p w:rsidR="0029334C" w:rsidRPr="00150234" w:rsidRDefault="00150234" w:rsidP="002C028C">
      <w:pPr>
        <w:pStyle w:val="Titre1"/>
      </w:pPr>
      <w:bookmarkStart w:id="1" w:name="_Toc425949944"/>
      <w:r w:rsidRPr="00150234">
        <w:t>Quelles communes comparer entre elles ?</w:t>
      </w:r>
      <w:bookmarkEnd w:id="1"/>
      <w:r w:rsidR="0029334C" w:rsidRPr="00150234">
        <w:t xml:space="preserve"> </w:t>
      </w:r>
    </w:p>
    <w:p w:rsidR="00150234" w:rsidRDefault="00150234" w:rsidP="00D62094">
      <w:pPr>
        <w:spacing w:before="240"/>
      </w:pPr>
      <w:r>
        <w:t xml:space="preserve">Les communes qui vont être comparées seront nécessairement des pôles de services (proximité, intermédiaire, supérieur). </w:t>
      </w:r>
    </w:p>
    <w:p w:rsidR="00150234" w:rsidRDefault="00150234" w:rsidP="0029334C">
      <w:r>
        <w:t xml:space="preserve">Pour le choix des communes à comparer deux choix sont possibles : </w:t>
      </w:r>
    </w:p>
    <w:p w:rsidR="00150234" w:rsidRDefault="006A4370" w:rsidP="00150234">
      <w:pPr>
        <w:pStyle w:val="Paragraphedeliste"/>
        <w:numPr>
          <w:ilvl w:val="0"/>
          <w:numId w:val="3"/>
        </w:numPr>
      </w:pPr>
      <w:r>
        <w:t>Nous nous basons sur les pôles établis par le SCOT, dont une hiérarchie a déjà été définie en fonction de critères démographiques, économiques, et selon le niveau d’équipement.</w:t>
      </w:r>
    </w:p>
    <w:p w:rsidR="006A4370" w:rsidRDefault="006A4370" w:rsidP="006A4370">
      <w:pPr>
        <w:pStyle w:val="Paragraphedeliste"/>
      </w:pPr>
      <w:r>
        <w:t xml:space="preserve">Un pôle structurant est par exemple un pôle de service intermédiaire. </w:t>
      </w:r>
    </w:p>
    <w:p w:rsidR="00EC5F83" w:rsidRDefault="00EC5F83" w:rsidP="006A4370">
      <w:pPr>
        <w:pStyle w:val="Paragraphedeliste"/>
      </w:pPr>
    </w:p>
    <w:p w:rsidR="006A4370" w:rsidRDefault="008E78F3" w:rsidP="00150234">
      <w:pPr>
        <w:pStyle w:val="Paragraphedeliste"/>
        <w:numPr>
          <w:ilvl w:val="0"/>
          <w:numId w:val="3"/>
        </w:numPr>
      </w:pPr>
      <w:r>
        <w:t>Sur la base de la liste des pôles de services établie selon la Base Permanente des Equipements de l’INSEE, une première sélection des pôles de services est faite : les pôles de services de proximité, les pôles intermédiaires et les pôles supérieurs du Territoire de Belfo</w:t>
      </w:r>
      <w:r w:rsidR="00EC5F83">
        <w:t>rt et des départements voisins.</w:t>
      </w:r>
    </w:p>
    <w:p w:rsidR="00EC5F83" w:rsidRDefault="00EC5F83" w:rsidP="00EC5F83"/>
    <w:p w:rsidR="00367C12" w:rsidRDefault="00EC5F83" w:rsidP="00EC5F83">
      <w:r>
        <w:t xml:space="preserve">Dans le premier cas, la comparaison ne fonctionnera que pour les pôles de services intermédiaires et de proximité. Belfort et Montbéliard étant les deux seules agglomérations (et donc pôles supérieurs) identifiés par le SCOT. </w:t>
      </w:r>
      <w:r w:rsidR="00367C12">
        <w:t xml:space="preserve">Concernant les pôles de proximité, il faut faire attention à bien séparer les pôles locaux et les micro-centres à développer identifiés dans le cadre du SCOT. Si la commune cible est un pôle local, nous comparerons les pôles locaux entres eux, idem si elle est classée micro-centre. </w:t>
      </w:r>
    </w:p>
    <w:p w:rsidR="00367C12" w:rsidRDefault="00367C12" w:rsidP="00EC5F83">
      <w:r>
        <w:t xml:space="preserve">L’avantage des pôles établis par le SCOT est qu’ils ont déjà fait l’objet d’une sélection et sont plus ou moins similaires. La comparaison du niveau d’équipement peut se faire directement. </w:t>
      </w:r>
    </w:p>
    <w:p w:rsidR="00367C12" w:rsidRDefault="00367C12" w:rsidP="00EC5F83">
      <w:r>
        <w:t>Concernant les pôles structurants, 8 pôles ont été identifiés dans le cadre du SCOT à l’échelle de l’Aire urbaine. Il s’agit de Giromagny, Delle, Beaucourt, Pont-de-roide, Héricourt, Audincourt, Sochaux et Valentigney.</w:t>
      </w:r>
      <w:r>
        <w:rPr>
          <w:rStyle w:val="Appelnotedebasdep"/>
        </w:rPr>
        <w:footnoteReference w:id="1"/>
      </w:r>
      <w:r>
        <w:t xml:space="preserve"> </w:t>
      </w:r>
    </w:p>
    <w:p w:rsidR="00367C12" w:rsidRDefault="00367C12" w:rsidP="0029334C"/>
    <w:p w:rsidR="00367C12" w:rsidRDefault="00367C12" w:rsidP="0029334C">
      <w:r>
        <w:lastRenderedPageBreak/>
        <w:t xml:space="preserve">Dans le deuxième cas, suivant le niveau du pôle que l’on veut comparer, trois listes sont à disposition : les pôles de services de proximité, intermédiaire et supérieur du Territoire de Belfort, du Doubs, du Jura, de la Haute-Saône, des Vosges et du Haut-Rhin. </w:t>
      </w:r>
    </w:p>
    <w:p w:rsidR="003B4DA2" w:rsidRDefault="003B4DA2" w:rsidP="0029334C">
      <w:r>
        <w:t xml:space="preserve">22 pôles de services supérieurs ont été identifiés, 95 pôles intermédiaires et 26 pôles de proximité uniquement dans le Territoire de Belfort (426 pour les autres départements cités ci-dessus). </w:t>
      </w:r>
    </w:p>
    <w:p w:rsidR="003B4DA2" w:rsidRDefault="003B4DA2" w:rsidP="0029334C">
      <w:r>
        <w:t xml:space="preserve">Suite à ces liste, une deuxième sélection est nécessaire afin d’identifier uniquement les pôles similaires à la commune cible sur la base de différentes variables (critères de sélection) : </w:t>
      </w:r>
    </w:p>
    <w:p w:rsidR="003B4DA2" w:rsidRDefault="003B4DA2" w:rsidP="003B4DA2">
      <w:pPr>
        <w:pStyle w:val="Paragraphedeliste"/>
        <w:numPr>
          <w:ilvl w:val="0"/>
          <w:numId w:val="3"/>
        </w:numPr>
      </w:pPr>
      <w:r>
        <w:t>La population totale de la commune</w:t>
      </w:r>
    </w:p>
    <w:p w:rsidR="003B4DA2" w:rsidRDefault="003B4DA2" w:rsidP="003B4DA2">
      <w:pPr>
        <w:pStyle w:val="Paragraphedeliste"/>
        <w:numPr>
          <w:ilvl w:val="0"/>
          <w:numId w:val="3"/>
        </w:numPr>
      </w:pPr>
      <w:r>
        <w:t>La population active</w:t>
      </w:r>
    </w:p>
    <w:p w:rsidR="003B4DA2" w:rsidRDefault="003B4DA2" w:rsidP="003B4DA2">
      <w:pPr>
        <w:pStyle w:val="Paragraphedeliste"/>
        <w:numPr>
          <w:ilvl w:val="0"/>
          <w:numId w:val="3"/>
        </w:numPr>
      </w:pPr>
      <w:r>
        <w:t>Les actifs occupés</w:t>
      </w:r>
    </w:p>
    <w:p w:rsidR="003B4DA2" w:rsidRDefault="003B4DA2" w:rsidP="003B4DA2">
      <w:pPr>
        <w:pStyle w:val="Paragraphedeliste"/>
        <w:numPr>
          <w:ilvl w:val="0"/>
          <w:numId w:val="3"/>
        </w:numPr>
      </w:pPr>
      <w:r>
        <w:t>L’emploi au lieu de travail</w:t>
      </w:r>
    </w:p>
    <w:p w:rsidR="003B4DA2" w:rsidRDefault="003B4DA2" w:rsidP="003B4DA2">
      <w:pPr>
        <w:pStyle w:val="Paragraphedeliste"/>
        <w:numPr>
          <w:ilvl w:val="0"/>
          <w:numId w:val="3"/>
        </w:numPr>
      </w:pPr>
      <w:r>
        <w:t>L’indice de concentration de l’emploi</w:t>
      </w:r>
    </w:p>
    <w:p w:rsidR="003B4DA2" w:rsidRDefault="003B4DA2" w:rsidP="003B4DA2">
      <w:r>
        <w:t xml:space="preserve">Les données utilisées </w:t>
      </w:r>
      <w:r w:rsidR="009F6334">
        <w:t>doivent venir de la même source</w:t>
      </w:r>
      <w:r w:rsidR="009F6334">
        <w:rPr>
          <w:rStyle w:val="Appelnotedebasdep"/>
        </w:rPr>
        <w:footnoteReference w:id="2"/>
      </w:r>
      <w:r w:rsidR="009F6334">
        <w:t xml:space="preserve"> (INSEE) et à la même date pour éviter des erreurs. </w:t>
      </w:r>
    </w:p>
    <w:p w:rsidR="009F6334" w:rsidRDefault="009F6334" w:rsidP="003B4DA2">
      <w:r>
        <w:t>L’échantillon peut contenir une dizaine de communes ou plus.</w:t>
      </w:r>
    </w:p>
    <w:p w:rsidR="009F6334" w:rsidRPr="009F6334" w:rsidRDefault="009F6334" w:rsidP="003B4DA2">
      <w:pPr>
        <w:rPr>
          <w:u w:val="single"/>
        </w:rPr>
      </w:pPr>
      <w:r w:rsidRPr="009F6334">
        <w:rPr>
          <w:u w:val="single"/>
        </w:rPr>
        <w:t>Exemple : Echantillon des villes à comparer à Delle</w:t>
      </w:r>
      <w:r>
        <w:rPr>
          <w:rStyle w:val="Appelnotedebasdep"/>
          <w:u w:val="single"/>
        </w:rPr>
        <w:footnoteReference w:id="3"/>
      </w:r>
      <w:r w:rsidRPr="009F6334">
        <w:rPr>
          <w:u w:val="single"/>
        </w:rPr>
        <w:t xml:space="preserve"> </w:t>
      </w:r>
    </w:p>
    <w:p w:rsidR="009F6334" w:rsidRDefault="009F6334" w:rsidP="003B4DA2">
      <w:r w:rsidRPr="009F6334">
        <w:drawing>
          <wp:inline distT="0" distB="0" distL="0" distR="0" wp14:anchorId="692F5BE8" wp14:editId="58E5BB0E">
            <wp:extent cx="6171506" cy="2529444"/>
            <wp:effectExtent l="0" t="0" r="1270" b="444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72779" cy="2529966"/>
                    </a:xfrm>
                    <a:prstGeom prst="rect">
                      <a:avLst/>
                    </a:prstGeom>
                    <a:noFill/>
                    <a:ln>
                      <a:noFill/>
                    </a:ln>
                  </pic:spPr>
                </pic:pic>
              </a:graphicData>
            </a:graphic>
          </wp:inline>
        </w:drawing>
      </w:r>
    </w:p>
    <w:p w:rsidR="002C028C" w:rsidRDefault="002C028C">
      <w:pPr>
        <w:spacing w:before="0"/>
        <w:jc w:val="left"/>
      </w:pPr>
    </w:p>
    <w:p w:rsidR="002C028C" w:rsidRDefault="002C028C">
      <w:pPr>
        <w:spacing w:before="0"/>
        <w:jc w:val="left"/>
      </w:pPr>
      <w:r>
        <w:t xml:space="preserve">L’ensemble de ces communes forment un référentiel de comparaison (une moyenne). </w:t>
      </w:r>
      <w:r>
        <w:br w:type="page"/>
      </w:r>
    </w:p>
    <w:p w:rsidR="00693658" w:rsidRDefault="00693658" w:rsidP="0029334C"/>
    <w:p w:rsidR="0029334C" w:rsidRPr="002C028C" w:rsidRDefault="0029334C" w:rsidP="002C028C">
      <w:pPr>
        <w:pStyle w:val="Titre1"/>
      </w:pPr>
      <w:bookmarkStart w:id="2" w:name="_Toc425949945"/>
      <w:r w:rsidRPr="002C028C">
        <w:t>Quel est l’indicateur de comparaison ?</w:t>
      </w:r>
      <w:bookmarkEnd w:id="2"/>
    </w:p>
    <w:p w:rsidR="00D12AE0" w:rsidRDefault="00D12AE0" w:rsidP="00D62094">
      <w:pPr>
        <w:spacing w:before="240"/>
      </w:pPr>
      <w:r>
        <w:t xml:space="preserve">L’indicateur utilisé pour faire la comparaison est le nombre d’équipements pour 1000 habitants. </w:t>
      </w:r>
    </w:p>
    <w:p w:rsidR="00D12AE0" w:rsidRDefault="00D12AE0" w:rsidP="00D62094">
      <w:pPr>
        <w:spacing w:before="240"/>
      </w:pPr>
      <w:r>
        <w:t xml:space="preserve">Il se base sur les données de la BPE de l’INSEE uniquement afin d’avoir la même source de données et éviter les erreurs. Il correspond à la somme des équipements de la commune ramené à sa population : </w:t>
      </w:r>
    </w:p>
    <w:p w:rsidR="00D12AE0" w:rsidRDefault="00D12AE0" w:rsidP="00D62094">
      <w:pPr>
        <w:spacing w:before="240"/>
      </w:pPr>
      <w:r>
        <w:t xml:space="preserve">260 équipements pour 5 000 habitants = 52 équipements pour 1000 habitants. </w:t>
      </w:r>
    </w:p>
    <w:p w:rsidR="00D12AE0" w:rsidRDefault="00D12AE0" w:rsidP="00D62094">
      <w:pPr>
        <w:spacing w:before="240"/>
      </w:pPr>
      <w:r>
        <w:t xml:space="preserve">Cet indicateur peut être calculé pour l’ensemble des équipements recensés par la BPE et par domaine (santé, scolaire, action sociale, sport, etc.). Il peut être calculé par rapport à la population totale de la commune ou au nombre d’habitants à la journée. </w:t>
      </w:r>
    </w:p>
    <w:p w:rsidR="00C141AF" w:rsidRPr="00D12AE0" w:rsidRDefault="00D12AE0" w:rsidP="00D12AE0">
      <w:pPr>
        <w:spacing w:before="240"/>
        <w:rPr>
          <w:u w:val="single"/>
        </w:rPr>
      </w:pPr>
      <w:r w:rsidRPr="00D12AE0">
        <w:rPr>
          <w:u w:val="single"/>
        </w:rPr>
        <w:t>Exemple sur un échantillon de pôles de services intermédiaires</w:t>
      </w:r>
      <w:r w:rsidRPr="00D12AE0">
        <w:t> :</w:t>
      </w:r>
      <w:r w:rsidRPr="00D12AE0">
        <w:rPr>
          <w:u w:val="single"/>
        </w:rPr>
        <w:t xml:space="preserve"> </w:t>
      </w:r>
    </w:p>
    <w:p w:rsidR="00D12AE0" w:rsidRPr="0029334C" w:rsidRDefault="00D12AE0" w:rsidP="00D12AE0">
      <w:pPr>
        <w:spacing w:before="240"/>
      </w:pPr>
    </w:p>
    <w:tbl>
      <w:tblPr>
        <w:tblW w:w="5200" w:type="dxa"/>
        <w:tblInd w:w="55" w:type="dxa"/>
        <w:tblCellMar>
          <w:left w:w="70" w:type="dxa"/>
          <w:right w:w="70" w:type="dxa"/>
        </w:tblCellMar>
        <w:tblLook w:val="04A0" w:firstRow="1" w:lastRow="0" w:firstColumn="1" w:lastColumn="0" w:noHBand="0" w:noVBand="1"/>
      </w:tblPr>
      <w:tblGrid>
        <w:gridCol w:w="1880"/>
        <w:gridCol w:w="1660"/>
        <w:gridCol w:w="1660"/>
      </w:tblGrid>
      <w:tr w:rsidR="000E1081" w:rsidRPr="000E1081" w:rsidTr="000E1081">
        <w:trPr>
          <w:trHeight w:val="1200"/>
        </w:trPr>
        <w:tc>
          <w:tcPr>
            <w:tcW w:w="1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E1081" w:rsidRPr="000E1081" w:rsidRDefault="000E1081" w:rsidP="000E1081">
            <w:pPr>
              <w:spacing w:before="0" w:line="240" w:lineRule="auto"/>
              <w:jc w:val="center"/>
              <w:rPr>
                <w:rFonts w:ascii="Calibri" w:eastAsia="Times New Roman" w:hAnsi="Calibri" w:cs="Times New Roman"/>
              </w:rPr>
            </w:pPr>
            <w:r w:rsidRPr="000E1081">
              <w:rPr>
                <w:rFonts w:ascii="Calibri" w:eastAsia="Times New Roman" w:hAnsi="Calibri" w:cs="Times New Roman"/>
              </w:rPr>
              <w:t>Nom des communes</w:t>
            </w:r>
          </w:p>
        </w:tc>
        <w:tc>
          <w:tcPr>
            <w:tcW w:w="1660" w:type="dxa"/>
            <w:tcBorders>
              <w:top w:val="single" w:sz="4" w:space="0" w:color="auto"/>
              <w:left w:val="nil"/>
              <w:bottom w:val="single" w:sz="4" w:space="0" w:color="auto"/>
              <w:right w:val="nil"/>
            </w:tcBorders>
            <w:shd w:val="clear" w:color="000000" w:fill="FFFFFF"/>
            <w:vAlign w:val="center"/>
            <w:hideMark/>
          </w:tcPr>
          <w:p w:rsidR="000E1081" w:rsidRPr="000E1081" w:rsidRDefault="000E1081" w:rsidP="000E1081">
            <w:pPr>
              <w:spacing w:before="0" w:line="240" w:lineRule="auto"/>
              <w:jc w:val="center"/>
              <w:rPr>
                <w:rFonts w:ascii="Calibri" w:eastAsia="Times New Roman" w:hAnsi="Calibri" w:cs="Times New Roman"/>
              </w:rPr>
            </w:pPr>
            <w:r w:rsidRPr="000E1081">
              <w:rPr>
                <w:rFonts w:ascii="Calibri" w:eastAsia="Times New Roman" w:hAnsi="Calibri" w:cs="Times New Roman"/>
              </w:rPr>
              <w:t xml:space="preserve">Nombre total d'équipements et de services </w:t>
            </w:r>
          </w:p>
        </w:tc>
        <w:tc>
          <w:tcPr>
            <w:tcW w:w="1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E1081" w:rsidRPr="000E1081" w:rsidRDefault="000E1081" w:rsidP="000E1081">
            <w:pPr>
              <w:spacing w:before="0" w:line="240" w:lineRule="auto"/>
              <w:jc w:val="center"/>
              <w:rPr>
                <w:rFonts w:ascii="Calibri" w:eastAsia="Times New Roman" w:hAnsi="Calibri" w:cs="Times New Roman"/>
              </w:rPr>
            </w:pPr>
            <w:r w:rsidRPr="000E1081">
              <w:rPr>
                <w:rFonts w:ascii="Calibri" w:eastAsia="Times New Roman" w:hAnsi="Calibri" w:cs="Times New Roman"/>
              </w:rPr>
              <w:t>Nombre d'équipement pour 1000 habitants</w:t>
            </w:r>
          </w:p>
        </w:tc>
      </w:tr>
      <w:tr w:rsidR="000E1081" w:rsidRPr="000E1081" w:rsidTr="000E1081">
        <w:trPr>
          <w:trHeight w:val="300"/>
        </w:trPr>
        <w:tc>
          <w:tcPr>
            <w:tcW w:w="1880" w:type="dxa"/>
            <w:tcBorders>
              <w:top w:val="nil"/>
              <w:left w:val="single" w:sz="4" w:space="0" w:color="auto"/>
              <w:bottom w:val="nil"/>
              <w:right w:val="single" w:sz="4" w:space="0" w:color="auto"/>
            </w:tcBorders>
            <w:shd w:val="clear" w:color="000000" w:fill="FFFFFF"/>
            <w:noWrap/>
            <w:vAlign w:val="bottom"/>
            <w:hideMark/>
          </w:tcPr>
          <w:p w:rsidR="000E1081" w:rsidRPr="000E1081" w:rsidRDefault="000E1081" w:rsidP="000E1081">
            <w:pPr>
              <w:spacing w:before="0" w:line="240" w:lineRule="auto"/>
              <w:jc w:val="left"/>
              <w:rPr>
                <w:rFonts w:ascii="Calibri" w:eastAsia="Times New Roman" w:hAnsi="Calibri" w:cs="Times New Roman"/>
              </w:rPr>
            </w:pPr>
            <w:r w:rsidRPr="000E1081">
              <w:rPr>
                <w:rFonts w:ascii="Calibri" w:eastAsia="Times New Roman" w:hAnsi="Calibri" w:cs="Times New Roman"/>
              </w:rPr>
              <w:t>BAUME-LES-DAMES</w:t>
            </w:r>
          </w:p>
        </w:tc>
        <w:tc>
          <w:tcPr>
            <w:tcW w:w="1660" w:type="dxa"/>
            <w:tcBorders>
              <w:top w:val="nil"/>
              <w:left w:val="nil"/>
              <w:bottom w:val="nil"/>
              <w:right w:val="nil"/>
            </w:tcBorders>
            <w:shd w:val="clear" w:color="000000" w:fill="FFFFFF"/>
            <w:noWrap/>
            <w:vAlign w:val="bottom"/>
            <w:hideMark/>
          </w:tcPr>
          <w:p w:rsidR="000E1081" w:rsidRPr="000E1081" w:rsidRDefault="000E1081" w:rsidP="000E1081">
            <w:pPr>
              <w:spacing w:before="0" w:line="240" w:lineRule="auto"/>
              <w:jc w:val="right"/>
              <w:rPr>
                <w:rFonts w:ascii="Calibri" w:eastAsia="Times New Roman" w:hAnsi="Calibri" w:cs="Times New Roman"/>
              </w:rPr>
            </w:pPr>
            <w:r w:rsidRPr="000E1081">
              <w:rPr>
                <w:rFonts w:ascii="Calibri" w:eastAsia="Times New Roman" w:hAnsi="Calibri" w:cs="Times New Roman"/>
              </w:rPr>
              <w:t>355</w:t>
            </w:r>
          </w:p>
        </w:tc>
        <w:tc>
          <w:tcPr>
            <w:tcW w:w="1660" w:type="dxa"/>
            <w:tcBorders>
              <w:top w:val="nil"/>
              <w:left w:val="single" w:sz="4" w:space="0" w:color="auto"/>
              <w:bottom w:val="nil"/>
              <w:right w:val="single" w:sz="4" w:space="0" w:color="auto"/>
            </w:tcBorders>
            <w:shd w:val="clear" w:color="000000" w:fill="FFFFFF"/>
            <w:noWrap/>
            <w:vAlign w:val="bottom"/>
            <w:hideMark/>
          </w:tcPr>
          <w:p w:rsidR="000E1081" w:rsidRPr="000E1081" w:rsidRDefault="000E1081" w:rsidP="000E1081">
            <w:pPr>
              <w:spacing w:before="0" w:line="240" w:lineRule="auto"/>
              <w:jc w:val="right"/>
              <w:rPr>
                <w:rFonts w:ascii="Calibri" w:eastAsia="Times New Roman" w:hAnsi="Calibri" w:cs="Times New Roman"/>
              </w:rPr>
            </w:pPr>
            <w:r w:rsidRPr="000E1081">
              <w:rPr>
                <w:rFonts w:ascii="Calibri" w:eastAsia="Times New Roman" w:hAnsi="Calibri" w:cs="Times New Roman"/>
              </w:rPr>
              <w:t>65</w:t>
            </w:r>
          </w:p>
        </w:tc>
      </w:tr>
      <w:tr w:rsidR="000E1081" w:rsidRPr="000E1081" w:rsidTr="000E1081">
        <w:trPr>
          <w:trHeight w:val="300"/>
        </w:trPr>
        <w:tc>
          <w:tcPr>
            <w:tcW w:w="1880" w:type="dxa"/>
            <w:tcBorders>
              <w:top w:val="nil"/>
              <w:left w:val="single" w:sz="4" w:space="0" w:color="auto"/>
              <w:bottom w:val="nil"/>
              <w:right w:val="single" w:sz="4" w:space="0" w:color="auto"/>
            </w:tcBorders>
            <w:shd w:val="clear" w:color="000000" w:fill="FFFFFF"/>
            <w:noWrap/>
            <w:vAlign w:val="bottom"/>
            <w:hideMark/>
          </w:tcPr>
          <w:p w:rsidR="000E1081" w:rsidRPr="000E1081" w:rsidRDefault="000E1081" w:rsidP="000E1081">
            <w:pPr>
              <w:spacing w:before="0" w:line="240" w:lineRule="auto"/>
              <w:jc w:val="left"/>
              <w:rPr>
                <w:rFonts w:ascii="Calibri" w:eastAsia="Times New Roman" w:hAnsi="Calibri" w:cs="Times New Roman"/>
              </w:rPr>
            </w:pPr>
            <w:r w:rsidRPr="000E1081">
              <w:rPr>
                <w:rFonts w:ascii="Calibri" w:eastAsia="Times New Roman" w:hAnsi="Calibri" w:cs="Times New Roman"/>
              </w:rPr>
              <w:t>BEAUCOURT</w:t>
            </w:r>
          </w:p>
        </w:tc>
        <w:tc>
          <w:tcPr>
            <w:tcW w:w="1660" w:type="dxa"/>
            <w:tcBorders>
              <w:top w:val="nil"/>
              <w:left w:val="nil"/>
              <w:bottom w:val="nil"/>
              <w:right w:val="nil"/>
            </w:tcBorders>
            <w:shd w:val="clear" w:color="000000" w:fill="FFFFFF"/>
            <w:noWrap/>
            <w:vAlign w:val="bottom"/>
            <w:hideMark/>
          </w:tcPr>
          <w:p w:rsidR="000E1081" w:rsidRPr="000E1081" w:rsidRDefault="000E1081" w:rsidP="000E1081">
            <w:pPr>
              <w:spacing w:before="0" w:line="240" w:lineRule="auto"/>
              <w:jc w:val="right"/>
              <w:rPr>
                <w:rFonts w:ascii="Calibri" w:eastAsia="Times New Roman" w:hAnsi="Calibri" w:cs="Times New Roman"/>
              </w:rPr>
            </w:pPr>
            <w:r w:rsidRPr="000E1081">
              <w:rPr>
                <w:rFonts w:ascii="Calibri" w:eastAsia="Times New Roman" w:hAnsi="Calibri" w:cs="Times New Roman"/>
              </w:rPr>
              <w:t>172</w:t>
            </w:r>
          </w:p>
        </w:tc>
        <w:tc>
          <w:tcPr>
            <w:tcW w:w="1660" w:type="dxa"/>
            <w:tcBorders>
              <w:top w:val="nil"/>
              <w:left w:val="single" w:sz="4" w:space="0" w:color="auto"/>
              <w:bottom w:val="nil"/>
              <w:right w:val="single" w:sz="4" w:space="0" w:color="auto"/>
            </w:tcBorders>
            <w:shd w:val="clear" w:color="000000" w:fill="FFFFFF"/>
            <w:noWrap/>
            <w:vAlign w:val="bottom"/>
            <w:hideMark/>
          </w:tcPr>
          <w:p w:rsidR="000E1081" w:rsidRPr="000E1081" w:rsidRDefault="000E1081" w:rsidP="000E1081">
            <w:pPr>
              <w:spacing w:before="0" w:line="240" w:lineRule="auto"/>
              <w:jc w:val="right"/>
              <w:rPr>
                <w:rFonts w:ascii="Calibri" w:eastAsia="Times New Roman" w:hAnsi="Calibri" w:cs="Times New Roman"/>
              </w:rPr>
            </w:pPr>
            <w:r w:rsidRPr="000E1081">
              <w:rPr>
                <w:rFonts w:ascii="Calibri" w:eastAsia="Times New Roman" w:hAnsi="Calibri" w:cs="Times New Roman"/>
              </w:rPr>
              <w:t>34</w:t>
            </w:r>
          </w:p>
        </w:tc>
      </w:tr>
      <w:tr w:rsidR="000E1081" w:rsidRPr="000E1081" w:rsidTr="000E1081">
        <w:trPr>
          <w:trHeight w:val="300"/>
        </w:trPr>
        <w:tc>
          <w:tcPr>
            <w:tcW w:w="1880" w:type="dxa"/>
            <w:tcBorders>
              <w:top w:val="nil"/>
              <w:left w:val="single" w:sz="4" w:space="0" w:color="auto"/>
              <w:bottom w:val="nil"/>
              <w:right w:val="single" w:sz="4" w:space="0" w:color="auto"/>
            </w:tcBorders>
            <w:shd w:val="clear" w:color="000000" w:fill="FFFFFF"/>
            <w:noWrap/>
            <w:vAlign w:val="bottom"/>
            <w:hideMark/>
          </w:tcPr>
          <w:p w:rsidR="000E1081" w:rsidRPr="000E1081" w:rsidRDefault="000E1081" w:rsidP="000E1081">
            <w:pPr>
              <w:spacing w:before="0" w:line="240" w:lineRule="auto"/>
              <w:jc w:val="left"/>
              <w:rPr>
                <w:rFonts w:ascii="Calibri" w:eastAsia="Times New Roman" w:hAnsi="Calibri" w:cs="Times New Roman"/>
              </w:rPr>
            </w:pPr>
            <w:r w:rsidRPr="000E1081">
              <w:rPr>
                <w:rFonts w:ascii="Calibri" w:eastAsia="Times New Roman" w:hAnsi="Calibri" w:cs="Times New Roman"/>
              </w:rPr>
              <w:t>DELLE</w:t>
            </w:r>
          </w:p>
        </w:tc>
        <w:tc>
          <w:tcPr>
            <w:tcW w:w="1660" w:type="dxa"/>
            <w:tcBorders>
              <w:top w:val="nil"/>
              <w:left w:val="nil"/>
              <w:bottom w:val="nil"/>
              <w:right w:val="nil"/>
            </w:tcBorders>
            <w:shd w:val="clear" w:color="000000" w:fill="FFFFFF"/>
            <w:noWrap/>
            <w:vAlign w:val="bottom"/>
            <w:hideMark/>
          </w:tcPr>
          <w:p w:rsidR="000E1081" w:rsidRPr="000E1081" w:rsidRDefault="000E1081" w:rsidP="000E1081">
            <w:pPr>
              <w:spacing w:before="0" w:line="240" w:lineRule="auto"/>
              <w:jc w:val="right"/>
              <w:rPr>
                <w:rFonts w:ascii="Calibri" w:eastAsia="Times New Roman" w:hAnsi="Calibri" w:cs="Times New Roman"/>
              </w:rPr>
            </w:pPr>
            <w:r w:rsidRPr="000E1081">
              <w:rPr>
                <w:rFonts w:ascii="Calibri" w:eastAsia="Times New Roman" w:hAnsi="Calibri" w:cs="Times New Roman"/>
              </w:rPr>
              <w:t>268</w:t>
            </w:r>
          </w:p>
        </w:tc>
        <w:tc>
          <w:tcPr>
            <w:tcW w:w="1660" w:type="dxa"/>
            <w:tcBorders>
              <w:top w:val="nil"/>
              <w:left w:val="single" w:sz="4" w:space="0" w:color="auto"/>
              <w:bottom w:val="nil"/>
              <w:right w:val="single" w:sz="4" w:space="0" w:color="auto"/>
            </w:tcBorders>
            <w:shd w:val="clear" w:color="000000" w:fill="FFFFFF"/>
            <w:noWrap/>
            <w:vAlign w:val="bottom"/>
            <w:hideMark/>
          </w:tcPr>
          <w:p w:rsidR="000E1081" w:rsidRPr="000E1081" w:rsidRDefault="000E1081" w:rsidP="000E1081">
            <w:pPr>
              <w:spacing w:before="0" w:line="240" w:lineRule="auto"/>
              <w:jc w:val="right"/>
              <w:rPr>
                <w:rFonts w:ascii="Calibri" w:eastAsia="Times New Roman" w:hAnsi="Calibri" w:cs="Times New Roman"/>
              </w:rPr>
            </w:pPr>
            <w:r w:rsidRPr="000E1081">
              <w:rPr>
                <w:rFonts w:ascii="Calibri" w:eastAsia="Times New Roman" w:hAnsi="Calibri" w:cs="Times New Roman"/>
              </w:rPr>
              <w:t>45</w:t>
            </w:r>
          </w:p>
        </w:tc>
      </w:tr>
      <w:tr w:rsidR="000E1081" w:rsidRPr="000E1081" w:rsidTr="000E1081">
        <w:trPr>
          <w:trHeight w:val="300"/>
        </w:trPr>
        <w:tc>
          <w:tcPr>
            <w:tcW w:w="1880" w:type="dxa"/>
            <w:tcBorders>
              <w:top w:val="nil"/>
              <w:left w:val="single" w:sz="4" w:space="0" w:color="auto"/>
              <w:bottom w:val="nil"/>
              <w:right w:val="single" w:sz="4" w:space="0" w:color="auto"/>
            </w:tcBorders>
            <w:shd w:val="clear" w:color="000000" w:fill="FFFFFF"/>
            <w:noWrap/>
            <w:vAlign w:val="bottom"/>
            <w:hideMark/>
          </w:tcPr>
          <w:p w:rsidR="000E1081" w:rsidRPr="000E1081" w:rsidRDefault="000E1081" w:rsidP="000E1081">
            <w:pPr>
              <w:spacing w:before="0" w:line="240" w:lineRule="auto"/>
              <w:jc w:val="left"/>
              <w:rPr>
                <w:rFonts w:ascii="Calibri" w:eastAsia="Times New Roman" w:hAnsi="Calibri" w:cs="Times New Roman"/>
              </w:rPr>
            </w:pPr>
            <w:r w:rsidRPr="000E1081">
              <w:rPr>
                <w:rFonts w:ascii="Calibri" w:eastAsia="Times New Roman" w:hAnsi="Calibri" w:cs="Times New Roman"/>
              </w:rPr>
              <w:t>GIROMAGNY</w:t>
            </w:r>
          </w:p>
        </w:tc>
        <w:tc>
          <w:tcPr>
            <w:tcW w:w="1660" w:type="dxa"/>
            <w:tcBorders>
              <w:top w:val="nil"/>
              <w:left w:val="nil"/>
              <w:bottom w:val="nil"/>
              <w:right w:val="nil"/>
            </w:tcBorders>
            <w:shd w:val="clear" w:color="000000" w:fill="FFFFFF"/>
            <w:noWrap/>
            <w:vAlign w:val="bottom"/>
            <w:hideMark/>
          </w:tcPr>
          <w:p w:rsidR="000E1081" w:rsidRPr="000E1081" w:rsidRDefault="000E1081" w:rsidP="000E1081">
            <w:pPr>
              <w:spacing w:before="0" w:line="240" w:lineRule="auto"/>
              <w:jc w:val="right"/>
              <w:rPr>
                <w:rFonts w:ascii="Calibri" w:eastAsia="Times New Roman" w:hAnsi="Calibri" w:cs="Times New Roman"/>
              </w:rPr>
            </w:pPr>
            <w:r w:rsidRPr="000E1081">
              <w:rPr>
                <w:rFonts w:ascii="Calibri" w:eastAsia="Times New Roman" w:hAnsi="Calibri" w:cs="Times New Roman"/>
              </w:rPr>
              <w:t>197</w:t>
            </w:r>
          </w:p>
        </w:tc>
        <w:tc>
          <w:tcPr>
            <w:tcW w:w="1660" w:type="dxa"/>
            <w:tcBorders>
              <w:top w:val="nil"/>
              <w:left w:val="single" w:sz="4" w:space="0" w:color="auto"/>
              <w:bottom w:val="nil"/>
              <w:right w:val="single" w:sz="4" w:space="0" w:color="auto"/>
            </w:tcBorders>
            <w:shd w:val="clear" w:color="000000" w:fill="FFFFFF"/>
            <w:noWrap/>
            <w:vAlign w:val="bottom"/>
            <w:hideMark/>
          </w:tcPr>
          <w:p w:rsidR="000E1081" w:rsidRPr="000E1081" w:rsidRDefault="000E1081" w:rsidP="000E1081">
            <w:pPr>
              <w:spacing w:before="0" w:line="240" w:lineRule="auto"/>
              <w:jc w:val="right"/>
              <w:rPr>
                <w:rFonts w:ascii="Calibri" w:eastAsia="Times New Roman" w:hAnsi="Calibri" w:cs="Times New Roman"/>
              </w:rPr>
            </w:pPr>
            <w:r w:rsidRPr="000E1081">
              <w:rPr>
                <w:rFonts w:ascii="Calibri" w:eastAsia="Times New Roman" w:hAnsi="Calibri" w:cs="Times New Roman"/>
              </w:rPr>
              <w:t>61</w:t>
            </w:r>
          </w:p>
        </w:tc>
      </w:tr>
      <w:tr w:rsidR="000E1081" w:rsidRPr="000E1081" w:rsidTr="000E1081">
        <w:trPr>
          <w:trHeight w:val="300"/>
        </w:trPr>
        <w:tc>
          <w:tcPr>
            <w:tcW w:w="1880" w:type="dxa"/>
            <w:tcBorders>
              <w:top w:val="nil"/>
              <w:left w:val="single" w:sz="4" w:space="0" w:color="auto"/>
              <w:bottom w:val="nil"/>
              <w:right w:val="single" w:sz="4" w:space="0" w:color="auto"/>
            </w:tcBorders>
            <w:shd w:val="clear" w:color="000000" w:fill="FFFFFF"/>
            <w:noWrap/>
            <w:vAlign w:val="bottom"/>
            <w:hideMark/>
          </w:tcPr>
          <w:p w:rsidR="000E1081" w:rsidRPr="000E1081" w:rsidRDefault="000E1081" w:rsidP="000E1081">
            <w:pPr>
              <w:spacing w:before="0" w:line="240" w:lineRule="auto"/>
              <w:jc w:val="left"/>
              <w:rPr>
                <w:rFonts w:ascii="Calibri" w:eastAsia="Times New Roman" w:hAnsi="Calibri" w:cs="Times New Roman"/>
              </w:rPr>
            </w:pPr>
            <w:r w:rsidRPr="000E1081">
              <w:rPr>
                <w:rFonts w:ascii="Calibri" w:eastAsia="Times New Roman" w:hAnsi="Calibri" w:cs="Times New Roman"/>
              </w:rPr>
              <w:t>HERICOURT</w:t>
            </w:r>
          </w:p>
        </w:tc>
        <w:tc>
          <w:tcPr>
            <w:tcW w:w="1660" w:type="dxa"/>
            <w:tcBorders>
              <w:top w:val="nil"/>
              <w:left w:val="nil"/>
              <w:bottom w:val="nil"/>
              <w:right w:val="nil"/>
            </w:tcBorders>
            <w:shd w:val="clear" w:color="000000" w:fill="FFFFFF"/>
            <w:noWrap/>
            <w:vAlign w:val="bottom"/>
            <w:hideMark/>
          </w:tcPr>
          <w:p w:rsidR="000E1081" w:rsidRPr="000E1081" w:rsidRDefault="000E1081" w:rsidP="000E1081">
            <w:pPr>
              <w:spacing w:before="0" w:line="240" w:lineRule="auto"/>
              <w:jc w:val="right"/>
              <w:rPr>
                <w:rFonts w:ascii="Calibri" w:eastAsia="Times New Roman" w:hAnsi="Calibri" w:cs="Times New Roman"/>
              </w:rPr>
            </w:pPr>
            <w:r w:rsidRPr="000E1081">
              <w:rPr>
                <w:rFonts w:ascii="Calibri" w:eastAsia="Times New Roman" w:hAnsi="Calibri" w:cs="Times New Roman"/>
              </w:rPr>
              <w:t>431</w:t>
            </w:r>
          </w:p>
        </w:tc>
        <w:tc>
          <w:tcPr>
            <w:tcW w:w="1660" w:type="dxa"/>
            <w:tcBorders>
              <w:top w:val="nil"/>
              <w:left w:val="single" w:sz="4" w:space="0" w:color="auto"/>
              <w:bottom w:val="nil"/>
              <w:right w:val="single" w:sz="4" w:space="0" w:color="auto"/>
            </w:tcBorders>
            <w:shd w:val="clear" w:color="000000" w:fill="FFFFFF"/>
            <w:noWrap/>
            <w:vAlign w:val="bottom"/>
            <w:hideMark/>
          </w:tcPr>
          <w:p w:rsidR="000E1081" w:rsidRPr="000E1081" w:rsidRDefault="000E1081" w:rsidP="000E1081">
            <w:pPr>
              <w:spacing w:before="0" w:line="240" w:lineRule="auto"/>
              <w:jc w:val="right"/>
              <w:rPr>
                <w:rFonts w:ascii="Calibri" w:eastAsia="Times New Roman" w:hAnsi="Calibri" w:cs="Times New Roman"/>
              </w:rPr>
            </w:pPr>
            <w:r w:rsidRPr="000E1081">
              <w:rPr>
                <w:rFonts w:ascii="Calibri" w:eastAsia="Times New Roman" w:hAnsi="Calibri" w:cs="Times New Roman"/>
              </w:rPr>
              <w:t>42</w:t>
            </w:r>
          </w:p>
        </w:tc>
      </w:tr>
      <w:tr w:rsidR="000E1081" w:rsidRPr="000E1081" w:rsidTr="000E1081">
        <w:trPr>
          <w:trHeight w:val="300"/>
        </w:trPr>
        <w:tc>
          <w:tcPr>
            <w:tcW w:w="1880" w:type="dxa"/>
            <w:tcBorders>
              <w:top w:val="nil"/>
              <w:left w:val="single" w:sz="4" w:space="0" w:color="auto"/>
              <w:bottom w:val="nil"/>
              <w:right w:val="single" w:sz="4" w:space="0" w:color="auto"/>
            </w:tcBorders>
            <w:shd w:val="clear" w:color="000000" w:fill="FFFFFF"/>
            <w:noWrap/>
            <w:vAlign w:val="bottom"/>
            <w:hideMark/>
          </w:tcPr>
          <w:p w:rsidR="000E1081" w:rsidRPr="000E1081" w:rsidRDefault="000E1081" w:rsidP="000E1081">
            <w:pPr>
              <w:spacing w:before="0" w:line="240" w:lineRule="auto"/>
              <w:jc w:val="left"/>
              <w:rPr>
                <w:rFonts w:ascii="Calibri" w:eastAsia="Times New Roman" w:hAnsi="Calibri" w:cs="Times New Roman"/>
              </w:rPr>
            </w:pPr>
            <w:r w:rsidRPr="000E1081">
              <w:rPr>
                <w:rFonts w:ascii="Calibri" w:eastAsia="Times New Roman" w:hAnsi="Calibri" w:cs="Times New Roman"/>
              </w:rPr>
              <w:t>MAICHE</w:t>
            </w:r>
          </w:p>
        </w:tc>
        <w:tc>
          <w:tcPr>
            <w:tcW w:w="1660" w:type="dxa"/>
            <w:tcBorders>
              <w:top w:val="nil"/>
              <w:left w:val="nil"/>
              <w:bottom w:val="nil"/>
              <w:right w:val="nil"/>
            </w:tcBorders>
            <w:shd w:val="clear" w:color="000000" w:fill="FFFFFF"/>
            <w:noWrap/>
            <w:vAlign w:val="bottom"/>
            <w:hideMark/>
          </w:tcPr>
          <w:p w:rsidR="000E1081" w:rsidRPr="000E1081" w:rsidRDefault="000E1081" w:rsidP="000E1081">
            <w:pPr>
              <w:spacing w:before="0" w:line="240" w:lineRule="auto"/>
              <w:jc w:val="right"/>
              <w:rPr>
                <w:rFonts w:ascii="Calibri" w:eastAsia="Times New Roman" w:hAnsi="Calibri" w:cs="Times New Roman"/>
              </w:rPr>
            </w:pPr>
            <w:r w:rsidRPr="000E1081">
              <w:rPr>
                <w:rFonts w:ascii="Calibri" w:eastAsia="Times New Roman" w:hAnsi="Calibri" w:cs="Times New Roman"/>
              </w:rPr>
              <w:t>294</w:t>
            </w:r>
          </w:p>
        </w:tc>
        <w:tc>
          <w:tcPr>
            <w:tcW w:w="1660" w:type="dxa"/>
            <w:tcBorders>
              <w:top w:val="nil"/>
              <w:left w:val="single" w:sz="4" w:space="0" w:color="auto"/>
              <w:bottom w:val="nil"/>
              <w:right w:val="single" w:sz="4" w:space="0" w:color="auto"/>
            </w:tcBorders>
            <w:shd w:val="clear" w:color="000000" w:fill="FFFFFF"/>
            <w:noWrap/>
            <w:vAlign w:val="bottom"/>
            <w:hideMark/>
          </w:tcPr>
          <w:p w:rsidR="000E1081" w:rsidRPr="000E1081" w:rsidRDefault="000E1081" w:rsidP="000E1081">
            <w:pPr>
              <w:spacing w:before="0" w:line="240" w:lineRule="auto"/>
              <w:jc w:val="right"/>
              <w:rPr>
                <w:rFonts w:ascii="Calibri" w:eastAsia="Times New Roman" w:hAnsi="Calibri" w:cs="Times New Roman"/>
              </w:rPr>
            </w:pPr>
            <w:r w:rsidRPr="000E1081">
              <w:rPr>
                <w:rFonts w:ascii="Calibri" w:eastAsia="Times New Roman" w:hAnsi="Calibri" w:cs="Times New Roman"/>
              </w:rPr>
              <w:t>66</w:t>
            </w:r>
          </w:p>
        </w:tc>
      </w:tr>
      <w:tr w:rsidR="000E1081" w:rsidRPr="000E1081" w:rsidTr="000E1081">
        <w:trPr>
          <w:trHeight w:val="300"/>
        </w:trPr>
        <w:tc>
          <w:tcPr>
            <w:tcW w:w="1880" w:type="dxa"/>
            <w:tcBorders>
              <w:top w:val="nil"/>
              <w:left w:val="single" w:sz="4" w:space="0" w:color="auto"/>
              <w:bottom w:val="nil"/>
              <w:right w:val="single" w:sz="4" w:space="0" w:color="auto"/>
            </w:tcBorders>
            <w:shd w:val="clear" w:color="000000" w:fill="FFFFFF"/>
            <w:noWrap/>
            <w:vAlign w:val="bottom"/>
            <w:hideMark/>
          </w:tcPr>
          <w:p w:rsidR="000E1081" w:rsidRPr="000E1081" w:rsidRDefault="000E1081" w:rsidP="000E1081">
            <w:pPr>
              <w:spacing w:before="0" w:line="240" w:lineRule="auto"/>
              <w:jc w:val="left"/>
              <w:rPr>
                <w:rFonts w:ascii="Calibri" w:eastAsia="Times New Roman" w:hAnsi="Calibri" w:cs="Times New Roman"/>
              </w:rPr>
            </w:pPr>
            <w:r w:rsidRPr="000E1081">
              <w:rPr>
                <w:rFonts w:ascii="Calibri" w:eastAsia="Times New Roman" w:hAnsi="Calibri" w:cs="Times New Roman"/>
              </w:rPr>
              <w:t>MANDEURE</w:t>
            </w:r>
          </w:p>
        </w:tc>
        <w:tc>
          <w:tcPr>
            <w:tcW w:w="1660" w:type="dxa"/>
            <w:tcBorders>
              <w:top w:val="nil"/>
              <w:left w:val="nil"/>
              <w:bottom w:val="nil"/>
              <w:right w:val="nil"/>
            </w:tcBorders>
            <w:shd w:val="clear" w:color="000000" w:fill="FFFFFF"/>
            <w:noWrap/>
            <w:vAlign w:val="bottom"/>
            <w:hideMark/>
          </w:tcPr>
          <w:p w:rsidR="000E1081" w:rsidRPr="000E1081" w:rsidRDefault="000E1081" w:rsidP="000E1081">
            <w:pPr>
              <w:spacing w:before="0" w:line="240" w:lineRule="auto"/>
              <w:jc w:val="right"/>
              <w:rPr>
                <w:rFonts w:ascii="Calibri" w:eastAsia="Times New Roman" w:hAnsi="Calibri" w:cs="Times New Roman"/>
              </w:rPr>
            </w:pPr>
            <w:r w:rsidRPr="000E1081">
              <w:rPr>
                <w:rFonts w:ascii="Calibri" w:eastAsia="Times New Roman" w:hAnsi="Calibri" w:cs="Times New Roman"/>
              </w:rPr>
              <w:t>186</w:t>
            </w:r>
          </w:p>
        </w:tc>
        <w:tc>
          <w:tcPr>
            <w:tcW w:w="1660" w:type="dxa"/>
            <w:tcBorders>
              <w:top w:val="nil"/>
              <w:left w:val="single" w:sz="4" w:space="0" w:color="auto"/>
              <w:bottom w:val="nil"/>
              <w:right w:val="single" w:sz="4" w:space="0" w:color="auto"/>
            </w:tcBorders>
            <w:shd w:val="clear" w:color="000000" w:fill="FFFFFF"/>
            <w:noWrap/>
            <w:vAlign w:val="bottom"/>
            <w:hideMark/>
          </w:tcPr>
          <w:p w:rsidR="000E1081" w:rsidRPr="000E1081" w:rsidRDefault="000E1081" w:rsidP="000E1081">
            <w:pPr>
              <w:spacing w:before="0" w:line="240" w:lineRule="auto"/>
              <w:jc w:val="right"/>
              <w:rPr>
                <w:rFonts w:ascii="Calibri" w:eastAsia="Times New Roman" w:hAnsi="Calibri" w:cs="Times New Roman"/>
              </w:rPr>
            </w:pPr>
            <w:r w:rsidRPr="000E1081">
              <w:rPr>
                <w:rFonts w:ascii="Calibri" w:eastAsia="Times New Roman" w:hAnsi="Calibri" w:cs="Times New Roman"/>
              </w:rPr>
              <w:t>37</w:t>
            </w:r>
          </w:p>
        </w:tc>
      </w:tr>
      <w:tr w:rsidR="000E1081" w:rsidRPr="000E1081" w:rsidTr="000E1081">
        <w:trPr>
          <w:trHeight w:val="300"/>
        </w:trPr>
        <w:tc>
          <w:tcPr>
            <w:tcW w:w="1880" w:type="dxa"/>
            <w:tcBorders>
              <w:top w:val="nil"/>
              <w:left w:val="single" w:sz="4" w:space="0" w:color="auto"/>
              <w:bottom w:val="nil"/>
              <w:right w:val="single" w:sz="4" w:space="0" w:color="auto"/>
            </w:tcBorders>
            <w:shd w:val="clear" w:color="000000" w:fill="FFFFFF"/>
            <w:noWrap/>
            <w:vAlign w:val="bottom"/>
            <w:hideMark/>
          </w:tcPr>
          <w:p w:rsidR="000E1081" w:rsidRPr="000E1081" w:rsidRDefault="000E1081" w:rsidP="000E1081">
            <w:pPr>
              <w:spacing w:before="0" w:line="240" w:lineRule="auto"/>
              <w:jc w:val="left"/>
              <w:rPr>
                <w:rFonts w:ascii="Calibri" w:eastAsia="Times New Roman" w:hAnsi="Calibri" w:cs="Times New Roman"/>
              </w:rPr>
            </w:pPr>
            <w:r w:rsidRPr="000E1081">
              <w:rPr>
                <w:rFonts w:ascii="Calibri" w:eastAsia="Times New Roman" w:hAnsi="Calibri" w:cs="Times New Roman"/>
              </w:rPr>
              <w:t>MASEVAUX</w:t>
            </w:r>
          </w:p>
        </w:tc>
        <w:tc>
          <w:tcPr>
            <w:tcW w:w="1660" w:type="dxa"/>
            <w:tcBorders>
              <w:top w:val="nil"/>
              <w:left w:val="nil"/>
              <w:bottom w:val="nil"/>
              <w:right w:val="nil"/>
            </w:tcBorders>
            <w:shd w:val="clear" w:color="000000" w:fill="FFFFFF"/>
            <w:noWrap/>
            <w:vAlign w:val="bottom"/>
            <w:hideMark/>
          </w:tcPr>
          <w:p w:rsidR="000E1081" w:rsidRPr="000E1081" w:rsidRDefault="000E1081" w:rsidP="000E1081">
            <w:pPr>
              <w:spacing w:before="0" w:line="240" w:lineRule="auto"/>
              <w:jc w:val="right"/>
              <w:rPr>
                <w:rFonts w:ascii="Calibri" w:eastAsia="Times New Roman" w:hAnsi="Calibri" w:cs="Times New Roman"/>
              </w:rPr>
            </w:pPr>
            <w:r w:rsidRPr="000E1081">
              <w:rPr>
                <w:rFonts w:ascii="Calibri" w:eastAsia="Times New Roman" w:hAnsi="Calibri" w:cs="Times New Roman"/>
              </w:rPr>
              <w:t>259</w:t>
            </w:r>
          </w:p>
        </w:tc>
        <w:tc>
          <w:tcPr>
            <w:tcW w:w="1660" w:type="dxa"/>
            <w:tcBorders>
              <w:top w:val="nil"/>
              <w:left w:val="single" w:sz="4" w:space="0" w:color="auto"/>
              <w:bottom w:val="nil"/>
              <w:right w:val="single" w:sz="4" w:space="0" w:color="auto"/>
            </w:tcBorders>
            <w:shd w:val="clear" w:color="000000" w:fill="FFFFFF"/>
            <w:noWrap/>
            <w:vAlign w:val="bottom"/>
            <w:hideMark/>
          </w:tcPr>
          <w:p w:rsidR="000E1081" w:rsidRPr="000E1081" w:rsidRDefault="000E1081" w:rsidP="000E1081">
            <w:pPr>
              <w:spacing w:before="0" w:line="240" w:lineRule="auto"/>
              <w:jc w:val="right"/>
              <w:rPr>
                <w:rFonts w:ascii="Calibri" w:eastAsia="Times New Roman" w:hAnsi="Calibri" w:cs="Times New Roman"/>
              </w:rPr>
            </w:pPr>
            <w:r w:rsidRPr="000E1081">
              <w:rPr>
                <w:rFonts w:ascii="Calibri" w:eastAsia="Times New Roman" w:hAnsi="Calibri" w:cs="Times New Roman"/>
              </w:rPr>
              <w:t>78</w:t>
            </w:r>
          </w:p>
        </w:tc>
      </w:tr>
      <w:tr w:rsidR="000E1081" w:rsidRPr="000E1081" w:rsidTr="000E1081">
        <w:trPr>
          <w:trHeight w:val="300"/>
        </w:trPr>
        <w:tc>
          <w:tcPr>
            <w:tcW w:w="1880" w:type="dxa"/>
            <w:tcBorders>
              <w:top w:val="nil"/>
              <w:left w:val="single" w:sz="4" w:space="0" w:color="auto"/>
              <w:bottom w:val="nil"/>
              <w:right w:val="single" w:sz="4" w:space="0" w:color="auto"/>
            </w:tcBorders>
            <w:shd w:val="clear" w:color="000000" w:fill="FFFFFF"/>
            <w:noWrap/>
            <w:vAlign w:val="bottom"/>
            <w:hideMark/>
          </w:tcPr>
          <w:p w:rsidR="000E1081" w:rsidRPr="000E1081" w:rsidRDefault="000E1081" w:rsidP="000E1081">
            <w:pPr>
              <w:spacing w:before="0" w:line="240" w:lineRule="auto"/>
              <w:jc w:val="left"/>
              <w:rPr>
                <w:rFonts w:ascii="Calibri" w:eastAsia="Times New Roman" w:hAnsi="Calibri" w:cs="Times New Roman"/>
              </w:rPr>
            </w:pPr>
            <w:r w:rsidRPr="000E1081">
              <w:rPr>
                <w:rFonts w:ascii="Calibri" w:eastAsia="Times New Roman" w:hAnsi="Calibri" w:cs="Times New Roman"/>
              </w:rPr>
              <w:t>MOREZ</w:t>
            </w:r>
          </w:p>
        </w:tc>
        <w:tc>
          <w:tcPr>
            <w:tcW w:w="1660" w:type="dxa"/>
            <w:tcBorders>
              <w:top w:val="nil"/>
              <w:left w:val="nil"/>
              <w:bottom w:val="nil"/>
              <w:right w:val="nil"/>
            </w:tcBorders>
            <w:shd w:val="clear" w:color="000000" w:fill="FFFFFF"/>
            <w:noWrap/>
            <w:vAlign w:val="bottom"/>
            <w:hideMark/>
          </w:tcPr>
          <w:p w:rsidR="000E1081" w:rsidRPr="000E1081" w:rsidRDefault="000E1081" w:rsidP="000E1081">
            <w:pPr>
              <w:spacing w:before="0" w:line="240" w:lineRule="auto"/>
              <w:jc w:val="right"/>
              <w:rPr>
                <w:rFonts w:ascii="Calibri" w:eastAsia="Times New Roman" w:hAnsi="Calibri" w:cs="Times New Roman"/>
              </w:rPr>
            </w:pPr>
            <w:r w:rsidRPr="000E1081">
              <w:rPr>
                <w:rFonts w:ascii="Calibri" w:eastAsia="Times New Roman" w:hAnsi="Calibri" w:cs="Times New Roman"/>
              </w:rPr>
              <w:t>274</w:t>
            </w:r>
          </w:p>
        </w:tc>
        <w:tc>
          <w:tcPr>
            <w:tcW w:w="1660" w:type="dxa"/>
            <w:tcBorders>
              <w:top w:val="nil"/>
              <w:left w:val="single" w:sz="4" w:space="0" w:color="auto"/>
              <w:bottom w:val="nil"/>
              <w:right w:val="single" w:sz="4" w:space="0" w:color="auto"/>
            </w:tcBorders>
            <w:shd w:val="clear" w:color="000000" w:fill="FFFFFF"/>
            <w:noWrap/>
            <w:vAlign w:val="bottom"/>
            <w:hideMark/>
          </w:tcPr>
          <w:p w:rsidR="000E1081" w:rsidRPr="000E1081" w:rsidRDefault="000E1081" w:rsidP="000E1081">
            <w:pPr>
              <w:spacing w:before="0" w:line="240" w:lineRule="auto"/>
              <w:jc w:val="right"/>
              <w:rPr>
                <w:rFonts w:ascii="Calibri" w:eastAsia="Times New Roman" w:hAnsi="Calibri" w:cs="Times New Roman"/>
              </w:rPr>
            </w:pPr>
            <w:r w:rsidRPr="000E1081">
              <w:rPr>
                <w:rFonts w:ascii="Calibri" w:eastAsia="Times New Roman" w:hAnsi="Calibri" w:cs="Times New Roman"/>
              </w:rPr>
              <w:t>54</w:t>
            </w:r>
          </w:p>
        </w:tc>
      </w:tr>
      <w:tr w:rsidR="000E1081" w:rsidRPr="000E1081" w:rsidTr="000E1081">
        <w:trPr>
          <w:trHeight w:val="300"/>
        </w:trPr>
        <w:tc>
          <w:tcPr>
            <w:tcW w:w="1880" w:type="dxa"/>
            <w:tcBorders>
              <w:top w:val="nil"/>
              <w:left w:val="single" w:sz="4" w:space="0" w:color="auto"/>
              <w:bottom w:val="nil"/>
              <w:right w:val="single" w:sz="4" w:space="0" w:color="auto"/>
            </w:tcBorders>
            <w:shd w:val="clear" w:color="000000" w:fill="FFFFFF"/>
            <w:noWrap/>
            <w:vAlign w:val="bottom"/>
            <w:hideMark/>
          </w:tcPr>
          <w:p w:rsidR="000E1081" w:rsidRPr="000E1081" w:rsidRDefault="000E1081" w:rsidP="000E1081">
            <w:pPr>
              <w:spacing w:before="0" w:line="240" w:lineRule="auto"/>
              <w:jc w:val="left"/>
              <w:rPr>
                <w:rFonts w:ascii="Calibri" w:eastAsia="Times New Roman" w:hAnsi="Calibri" w:cs="Times New Roman"/>
              </w:rPr>
            </w:pPr>
            <w:r w:rsidRPr="000E1081">
              <w:rPr>
                <w:rFonts w:ascii="Calibri" w:eastAsia="Times New Roman" w:hAnsi="Calibri" w:cs="Times New Roman"/>
              </w:rPr>
              <w:t>MORTEAU</w:t>
            </w:r>
          </w:p>
        </w:tc>
        <w:tc>
          <w:tcPr>
            <w:tcW w:w="1660" w:type="dxa"/>
            <w:tcBorders>
              <w:top w:val="nil"/>
              <w:left w:val="nil"/>
              <w:bottom w:val="nil"/>
              <w:right w:val="nil"/>
            </w:tcBorders>
            <w:shd w:val="clear" w:color="000000" w:fill="FFFFFF"/>
            <w:noWrap/>
            <w:vAlign w:val="bottom"/>
            <w:hideMark/>
          </w:tcPr>
          <w:p w:rsidR="000E1081" w:rsidRPr="000E1081" w:rsidRDefault="000E1081" w:rsidP="000E1081">
            <w:pPr>
              <w:spacing w:before="0" w:line="240" w:lineRule="auto"/>
              <w:jc w:val="right"/>
              <w:rPr>
                <w:rFonts w:ascii="Calibri" w:eastAsia="Times New Roman" w:hAnsi="Calibri" w:cs="Times New Roman"/>
              </w:rPr>
            </w:pPr>
            <w:r w:rsidRPr="000E1081">
              <w:rPr>
                <w:rFonts w:ascii="Calibri" w:eastAsia="Times New Roman" w:hAnsi="Calibri" w:cs="Times New Roman"/>
              </w:rPr>
              <w:t>415</w:t>
            </w:r>
          </w:p>
        </w:tc>
        <w:tc>
          <w:tcPr>
            <w:tcW w:w="1660" w:type="dxa"/>
            <w:tcBorders>
              <w:top w:val="nil"/>
              <w:left w:val="single" w:sz="4" w:space="0" w:color="auto"/>
              <w:bottom w:val="nil"/>
              <w:right w:val="single" w:sz="4" w:space="0" w:color="auto"/>
            </w:tcBorders>
            <w:shd w:val="clear" w:color="000000" w:fill="FFFFFF"/>
            <w:noWrap/>
            <w:vAlign w:val="bottom"/>
            <w:hideMark/>
          </w:tcPr>
          <w:p w:rsidR="000E1081" w:rsidRPr="000E1081" w:rsidRDefault="000E1081" w:rsidP="000E1081">
            <w:pPr>
              <w:spacing w:before="0" w:line="240" w:lineRule="auto"/>
              <w:jc w:val="right"/>
              <w:rPr>
                <w:rFonts w:ascii="Calibri" w:eastAsia="Times New Roman" w:hAnsi="Calibri" w:cs="Times New Roman"/>
              </w:rPr>
            </w:pPr>
            <w:r w:rsidRPr="000E1081">
              <w:rPr>
                <w:rFonts w:ascii="Calibri" w:eastAsia="Times New Roman" w:hAnsi="Calibri" w:cs="Times New Roman"/>
              </w:rPr>
              <w:t>61</w:t>
            </w:r>
          </w:p>
        </w:tc>
      </w:tr>
      <w:tr w:rsidR="000E1081" w:rsidRPr="000E1081" w:rsidTr="000E1081">
        <w:trPr>
          <w:trHeight w:val="300"/>
        </w:trPr>
        <w:tc>
          <w:tcPr>
            <w:tcW w:w="1880" w:type="dxa"/>
            <w:tcBorders>
              <w:top w:val="nil"/>
              <w:left w:val="single" w:sz="4" w:space="0" w:color="auto"/>
              <w:bottom w:val="single" w:sz="4" w:space="0" w:color="auto"/>
              <w:right w:val="single" w:sz="4" w:space="0" w:color="auto"/>
            </w:tcBorders>
            <w:shd w:val="clear" w:color="000000" w:fill="FFFFFF"/>
            <w:noWrap/>
            <w:vAlign w:val="bottom"/>
            <w:hideMark/>
          </w:tcPr>
          <w:p w:rsidR="000E1081" w:rsidRPr="000E1081" w:rsidRDefault="000E1081" w:rsidP="000E1081">
            <w:pPr>
              <w:spacing w:before="0" w:line="240" w:lineRule="auto"/>
              <w:jc w:val="left"/>
              <w:rPr>
                <w:rFonts w:ascii="Calibri" w:eastAsia="Times New Roman" w:hAnsi="Calibri" w:cs="Times New Roman"/>
              </w:rPr>
            </w:pPr>
            <w:r w:rsidRPr="000E1081">
              <w:rPr>
                <w:rFonts w:ascii="Calibri" w:eastAsia="Times New Roman" w:hAnsi="Calibri" w:cs="Times New Roman"/>
              </w:rPr>
              <w:t>PONT DE ROIDE</w:t>
            </w:r>
          </w:p>
        </w:tc>
        <w:tc>
          <w:tcPr>
            <w:tcW w:w="1660" w:type="dxa"/>
            <w:tcBorders>
              <w:top w:val="nil"/>
              <w:left w:val="nil"/>
              <w:bottom w:val="single" w:sz="4" w:space="0" w:color="auto"/>
              <w:right w:val="nil"/>
            </w:tcBorders>
            <w:shd w:val="clear" w:color="000000" w:fill="FFFFFF"/>
            <w:noWrap/>
            <w:vAlign w:val="bottom"/>
            <w:hideMark/>
          </w:tcPr>
          <w:p w:rsidR="000E1081" w:rsidRPr="000E1081" w:rsidRDefault="000E1081" w:rsidP="000E1081">
            <w:pPr>
              <w:spacing w:before="0" w:line="240" w:lineRule="auto"/>
              <w:jc w:val="right"/>
              <w:rPr>
                <w:rFonts w:ascii="Calibri" w:eastAsia="Times New Roman" w:hAnsi="Calibri" w:cs="Times New Roman"/>
              </w:rPr>
            </w:pPr>
            <w:r w:rsidRPr="000E1081">
              <w:rPr>
                <w:rFonts w:ascii="Calibri" w:eastAsia="Times New Roman" w:hAnsi="Calibri" w:cs="Times New Roman"/>
              </w:rPr>
              <w:t>277</w:t>
            </w:r>
          </w:p>
        </w:tc>
        <w:tc>
          <w:tcPr>
            <w:tcW w:w="1660" w:type="dxa"/>
            <w:tcBorders>
              <w:top w:val="nil"/>
              <w:left w:val="single" w:sz="4" w:space="0" w:color="auto"/>
              <w:bottom w:val="single" w:sz="4" w:space="0" w:color="auto"/>
              <w:right w:val="single" w:sz="4" w:space="0" w:color="auto"/>
            </w:tcBorders>
            <w:shd w:val="clear" w:color="000000" w:fill="FFFFFF"/>
            <w:noWrap/>
            <w:vAlign w:val="bottom"/>
            <w:hideMark/>
          </w:tcPr>
          <w:p w:rsidR="000E1081" w:rsidRPr="000E1081" w:rsidRDefault="000E1081" w:rsidP="000E1081">
            <w:pPr>
              <w:spacing w:before="0" w:line="240" w:lineRule="auto"/>
              <w:jc w:val="right"/>
              <w:rPr>
                <w:rFonts w:ascii="Calibri" w:eastAsia="Times New Roman" w:hAnsi="Calibri" w:cs="Times New Roman"/>
              </w:rPr>
            </w:pPr>
            <w:r w:rsidRPr="000E1081">
              <w:rPr>
                <w:rFonts w:ascii="Calibri" w:eastAsia="Times New Roman" w:hAnsi="Calibri" w:cs="Times New Roman"/>
              </w:rPr>
              <w:t>63</w:t>
            </w:r>
          </w:p>
        </w:tc>
      </w:tr>
      <w:tr w:rsidR="000E1081" w:rsidRPr="000E1081" w:rsidTr="000E1081">
        <w:trPr>
          <w:trHeight w:val="300"/>
        </w:trPr>
        <w:tc>
          <w:tcPr>
            <w:tcW w:w="1880" w:type="dxa"/>
            <w:tcBorders>
              <w:top w:val="nil"/>
              <w:left w:val="single" w:sz="4" w:space="0" w:color="auto"/>
              <w:bottom w:val="single" w:sz="4" w:space="0" w:color="auto"/>
              <w:right w:val="single" w:sz="4" w:space="0" w:color="auto"/>
            </w:tcBorders>
            <w:shd w:val="clear" w:color="000000" w:fill="FFFFFF"/>
            <w:noWrap/>
            <w:vAlign w:val="bottom"/>
            <w:hideMark/>
          </w:tcPr>
          <w:p w:rsidR="000E1081" w:rsidRPr="000E1081" w:rsidRDefault="000E1081" w:rsidP="000E1081">
            <w:pPr>
              <w:spacing w:before="0" w:line="240" w:lineRule="auto"/>
              <w:jc w:val="left"/>
              <w:rPr>
                <w:rFonts w:ascii="Calibri" w:eastAsia="Times New Roman" w:hAnsi="Calibri" w:cs="Times New Roman"/>
              </w:rPr>
            </w:pPr>
            <w:r w:rsidRPr="000E1081">
              <w:rPr>
                <w:rFonts w:ascii="Calibri" w:eastAsia="Times New Roman" w:hAnsi="Calibri" w:cs="Times New Roman"/>
              </w:rPr>
              <w:t>MOYENNE</w:t>
            </w:r>
          </w:p>
        </w:tc>
        <w:tc>
          <w:tcPr>
            <w:tcW w:w="1660" w:type="dxa"/>
            <w:tcBorders>
              <w:top w:val="nil"/>
              <w:left w:val="nil"/>
              <w:bottom w:val="single" w:sz="4" w:space="0" w:color="auto"/>
              <w:right w:val="nil"/>
            </w:tcBorders>
            <w:shd w:val="clear" w:color="000000" w:fill="FFFFFF"/>
            <w:noWrap/>
            <w:vAlign w:val="bottom"/>
            <w:hideMark/>
          </w:tcPr>
          <w:p w:rsidR="000E1081" w:rsidRPr="000E1081" w:rsidRDefault="000E1081" w:rsidP="000E1081">
            <w:pPr>
              <w:spacing w:before="0" w:line="240" w:lineRule="auto"/>
              <w:jc w:val="right"/>
              <w:rPr>
                <w:rFonts w:ascii="Calibri" w:eastAsia="Times New Roman" w:hAnsi="Calibri" w:cs="Times New Roman"/>
              </w:rPr>
            </w:pPr>
            <w:r w:rsidRPr="000E1081">
              <w:rPr>
                <w:rFonts w:ascii="Calibri" w:eastAsia="Times New Roman" w:hAnsi="Calibri" w:cs="Times New Roman"/>
              </w:rPr>
              <w:t>284</w:t>
            </w:r>
          </w:p>
        </w:tc>
        <w:tc>
          <w:tcPr>
            <w:tcW w:w="1660" w:type="dxa"/>
            <w:tcBorders>
              <w:top w:val="nil"/>
              <w:left w:val="single" w:sz="4" w:space="0" w:color="auto"/>
              <w:bottom w:val="single" w:sz="4" w:space="0" w:color="auto"/>
              <w:right w:val="single" w:sz="4" w:space="0" w:color="auto"/>
            </w:tcBorders>
            <w:shd w:val="clear" w:color="000000" w:fill="FFFFFF"/>
            <w:noWrap/>
            <w:vAlign w:val="bottom"/>
            <w:hideMark/>
          </w:tcPr>
          <w:p w:rsidR="000E1081" w:rsidRPr="000E1081" w:rsidRDefault="000E1081" w:rsidP="000E1081">
            <w:pPr>
              <w:spacing w:before="0" w:line="240" w:lineRule="auto"/>
              <w:jc w:val="right"/>
              <w:rPr>
                <w:rFonts w:ascii="Calibri" w:eastAsia="Times New Roman" w:hAnsi="Calibri" w:cs="Times New Roman"/>
              </w:rPr>
            </w:pPr>
            <w:r w:rsidRPr="000E1081">
              <w:rPr>
                <w:rFonts w:ascii="Calibri" w:eastAsia="Times New Roman" w:hAnsi="Calibri" w:cs="Times New Roman"/>
              </w:rPr>
              <w:t>55</w:t>
            </w:r>
          </w:p>
        </w:tc>
      </w:tr>
    </w:tbl>
    <w:p w:rsidR="002C028C" w:rsidRDefault="00312FF7">
      <w:r>
        <w:rPr>
          <w:noProof/>
        </w:rPr>
        <w:drawing>
          <wp:anchor distT="0" distB="0" distL="114300" distR="114300" simplePos="0" relativeHeight="251662336" behindDoc="0" locked="0" layoutInCell="1" allowOverlap="1" wp14:anchorId="75805C7A" wp14:editId="5868B39F">
            <wp:simplePos x="0" y="0"/>
            <wp:positionH relativeFrom="column">
              <wp:posOffset>-45720</wp:posOffset>
            </wp:positionH>
            <wp:positionV relativeFrom="paragraph">
              <wp:posOffset>90805</wp:posOffset>
            </wp:positionV>
            <wp:extent cx="3329940" cy="2185035"/>
            <wp:effectExtent l="0" t="0" r="3810" b="5715"/>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29940" cy="2185035"/>
                    </a:xfrm>
                    <a:prstGeom prst="rect">
                      <a:avLst/>
                    </a:prstGeom>
                    <a:noFill/>
                  </pic:spPr>
                </pic:pic>
              </a:graphicData>
            </a:graphic>
            <wp14:sizeRelH relativeFrom="page">
              <wp14:pctWidth>0</wp14:pctWidth>
            </wp14:sizeRelH>
            <wp14:sizeRelV relativeFrom="page">
              <wp14:pctHeight>0</wp14:pctHeight>
            </wp14:sizeRelV>
          </wp:anchor>
        </w:drawing>
      </w:r>
    </w:p>
    <w:p w:rsidR="000E1081" w:rsidRPr="00D62094" w:rsidRDefault="000E1081" w:rsidP="00D62094">
      <w:pPr>
        <w:pStyle w:val="Sansinterligne"/>
      </w:pPr>
      <w:bookmarkStart w:id="3" w:name="_Toc425949946"/>
    </w:p>
    <w:p w:rsidR="00D62094" w:rsidRDefault="00D62094">
      <w:pPr>
        <w:spacing w:before="0"/>
        <w:jc w:val="left"/>
        <w:rPr>
          <w:rFonts w:asciiTheme="majorHAnsi" w:eastAsiaTheme="majorEastAsia" w:hAnsiTheme="majorHAnsi" w:cstheme="majorBidi"/>
          <w:bCs/>
          <w:color w:val="17365D" w:themeColor="text2" w:themeShade="BF"/>
          <w:sz w:val="28"/>
          <w:szCs w:val="28"/>
        </w:rPr>
      </w:pPr>
      <w:r>
        <w:br w:type="page"/>
      </w:r>
    </w:p>
    <w:p w:rsidR="002C028C" w:rsidRPr="002C028C" w:rsidRDefault="002C028C" w:rsidP="002C028C">
      <w:pPr>
        <w:pStyle w:val="Titre1"/>
      </w:pPr>
      <w:r w:rsidRPr="002C028C">
        <w:lastRenderedPageBreak/>
        <w:t>Quels résultats à afficher dans le PLU ?</w:t>
      </w:r>
      <w:bookmarkEnd w:id="3"/>
    </w:p>
    <w:p w:rsidR="00D62094" w:rsidRDefault="00D62094" w:rsidP="000E1081">
      <w:pPr>
        <w:pStyle w:val="Sansinterligne"/>
      </w:pPr>
    </w:p>
    <w:p w:rsidR="00D62094" w:rsidRDefault="00D62094" w:rsidP="000E1081">
      <w:pPr>
        <w:pStyle w:val="Sansinterligne"/>
      </w:pPr>
      <w:r>
        <w:t xml:space="preserve">Il est préférable de n’afficher que les moyennes du référentiel dans les tableaux montrant le nombre total d’équipement pour 1000 habitants afin de ne mettre que la commune cible en avant, comme cela a été fait dans le cadre du PLU de Delle. Les autres communes sont regroupées dans un « référentiel ». </w:t>
      </w:r>
    </w:p>
    <w:p w:rsidR="000E1081" w:rsidRPr="00D62094" w:rsidRDefault="00D62094" w:rsidP="000E1081">
      <w:pPr>
        <w:pStyle w:val="Sansinterligne"/>
      </w:pPr>
      <w:r w:rsidRPr="00D62094">
        <w:t xml:space="preserve">Deux exemples d’analyses ont été faite pour le PLU de Delle et le </w:t>
      </w:r>
      <w:proofErr w:type="spellStart"/>
      <w:r w:rsidRPr="00D62094">
        <w:t>PLUi</w:t>
      </w:r>
      <w:proofErr w:type="spellEnd"/>
      <w:r w:rsidRPr="00D62094">
        <w:t xml:space="preserve"> de la CCHS. </w:t>
      </w:r>
    </w:p>
    <w:p w:rsidR="00D62094" w:rsidRDefault="00D62094" w:rsidP="000E1081">
      <w:pPr>
        <w:pStyle w:val="Sansinterligne"/>
        <w:rPr>
          <w:u w:val="single"/>
        </w:rPr>
      </w:pPr>
    </w:p>
    <w:p w:rsidR="000E1081" w:rsidRPr="000E1081" w:rsidRDefault="000E1081" w:rsidP="000E1081">
      <w:pPr>
        <w:pStyle w:val="Sansinterligne"/>
        <w:rPr>
          <w:i/>
          <w:u w:val="single"/>
        </w:rPr>
      </w:pPr>
      <w:r w:rsidRPr="000E1081">
        <w:rPr>
          <w:i/>
          <w:u w:val="single"/>
        </w:rPr>
        <w:t>Proposition de rédaction (PLU de Delle) :</w:t>
      </w:r>
    </w:p>
    <w:p w:rsidR="000E1081" w:rsidRPr="000E1081" w:rsidRDefault="000E1081" w:rsidP="000E1081">
      <w:pPr>
        <w:spacing w:after="200"/>
        <w:contextualSpacing/>
        <w:rPr>
          <w:i/>
        </w:rPr>
      </w:pPr>
    </w:p>
    <w:p w:rsidR="000E1081" w:rsidRPr="000E1081" w:rsidRDefault="000E1081" w:rsidP="000E1081">
      <w:pPr>
        <w:spacing w:after="200"/>
        <w:contextualSpacing/>
        <w:rPr>
          <w:i/>
        </w:rPr>
      </w:pPr>
      <w:r w:rsidRPr="000E1081">
        <w:rPr>
          <w:i/>
        </w:rPr>
        <w:t xml:space="preserve">Afin d’évaluer au mieux le niveau d’équipement de Delle, nous nous sommes basé sur un référentiel de comparaison de 10 communes aux caractéristiques identiques. </w:t>
      </w:r>
    </w:p>
    <w:p w:rsidR="000E1081" w:rsidRDefault="000E1081"/>
    <w:tbl>
      <w:tblPr>
        <w:tblStyle w:val="Grillemoyenne2-Accent5"/>
        <w:tblW w:w="0" w:type="auto"/>
        <w:tblLook w:val="04A0" w:firstRow="1" w:lastRow="0" w:firstColumn="1" w:lastColumn="0" w:noHBand="0" w:noVBand="1"/>
      </w:tblPr>
      <w:tblGrid>
        <w:gridCol w:w="2529"/>
        <w:gridCol w:w="1960"/>
        <w:gridCol w:w="2404"/>
        <w:gridCol w:w="2395"/>
      </w:tblGrid>
      <w:tr w:rsidR="000E1081" w:rsidTr="006818A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29" w:type="dxa"/>
          </w:tcPr>
          <w:p w:rsidR="000E1081" w:rsidRDefault="000E1081" w:rsidP="006818A6">
            <w:pPr>
              <w:spacing w:after="200" w:line="276" w:lineRule="auto"/>
              <w:contextualSpacing/>
              <w:rPr>
                <w:rFonts w:ascii="Tahoma" w:hAnsi="Tahoma" w:cs="Tahoma"/>
                <w:sz w:val="20"/>
                <w:szCs w:val="20"/>
              </w:rPr>
            </w:pPr>
          </w:p>
        </w:tc>
        <w:tc>
          <w:tcPr>
            <w:tcW w:w="1960" w:type="dxa"/>
            <w:vAlign w:val="center"/>
          </w:tcPr>
          <w:p w:rsidR="000E1081" w:rsidRDefault="000E1081" w:rsidP="006818A6">
            <w:pPr>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rPr>
            </w:pPr>
            <w:r>
              <w:rPr>
                <w:rFonts w:ascii="Tahoma" w:hAnsi="Tahoma" w:cs="Tahoma"/>
                <w:sz w:val="20"/>
                <w:szCs w:val="20"/>
              </w:rPr>
              <w:t>Population totale</w:t>
            </w:r>
          </w:p>
        </w:tc>
        <w:tc>
          <w:tcPr>
            <w:tcW w:w="2404" w:type="dxa"/>
            <w:vAlign w:val="center"/>
          </w:tcPr>
          <w:p w:rsidR="000E1081" w:rsidRDefault="000E1081" w:rsidP="006818A6">
            <w:pPr>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rPr>
            </w:pPr>
            <w:r>
              <w:rPr>
                <w:rFonts w:ascii="Tahoma" w:hAnsi="Tahoma" w:cs="Tahoma"/>
                <w:sz w:val="20"/>
                <w:szCs w:val="20"/>
              </w:rPr>
              <w:t>Nombre total d’équipements et de services</w:t>
            </w:r>
          </w:p>
        </w:tc>
        <w:tc>
          <w:tcPr>
            <w:tcW w:w="2395" w:type="dxa"/>
            <w:vAlign w:val="center"/>
          </w:tcPr>
          <w:p w:rsidR="000E1081" w:rsidRDefault="000E1081" w:rsidP="006818A6">
            <w:pPr>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rPr>
            </w:pPr>
            <w:r>
              <w:rPr>
                <w:rFonts w:ascii="Tahoma" w:hAnsi="Tahoma" w:cs="Tahoma"/>
                <w:sz w:val="20"/>
                <w:szCs w:val="20"/>
              </w:rPr>
              <w:t>Nombre d’équipements et de services pour 1000 habitants</w:t>
            </w:r>
          </w:p>
        </w:tc>
      </w:tr>
      <w:tr w:rsidR="000E1081" w:rsidTr="006818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9" w:type="dxa"/>
          </w:tcPr>
          <w:p w:rsidR="000E1081" w:rsidRDefault="000E1081" w:rsidP="006818A6">
            <w:pPr>
              <w:spacing w:after="200" w:line="276" w:lineRule="auto"/>
              <w:contextualSpacing/>
              <w:rPr>
                <w:rFonts w:ascii="Tahoma" w:hAnsi="Tahoma" w:cs="Tahoma"/>
                <w:sz w:val="20"/>
                <w:szCs w:val="20"/>
              </w:rPr>
            </w:pPr>
            <w:r>
              <w:rPr>
                <w:rFonts w:ascii="Tahoma" w:hAnsi="Tahoma" w:cs="Tahoma"/>
                <w:sz w:val="20"/>
                <w:szCs w:val="20"/>
              </w:rPr>
              <w:t>Delle</w:t>
            </w:r>
          </w:p>
        </w:tc>
        <w:tc>
          <w:tcPr>
            <w:tcW w:w="1960" w:type="dxa"/>
          </w:tcPr>
          <w:p w:rsidR="000E1081" w:rsidRDefault="000E1081" w:rsidP="006818A6">
            <w:pPr>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Pr>
                <w:rFonts w:ascii="Tahoma" w:hAnsi="Tahoma" w:cs="Tahoma"/>
                <w:sz w:val="20"/>
                <w:szCs w:val="20"/>
              </w:rPr>
              <w:t>5959</w:t>
            </w:r>
          </w:p>
        </w:tc>
        <w:tc>
          <w:tcPr>
            <w:tcW w:w="2404" w:type="dxa"/>
          </w:tcPr>
          <w:p w:rsidR="000E1081" w:rsidRDefault="000E1081" w:rsidP="006818A6">
            <w:pPr>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Pr>
                <w:rFonts w:ascii="Tahoma" w:hAnsi="Tahoma" w:cs="Tahoma"/>
                <w:sz w:val="20"/>
                <w:szCs w:val="20"/>
              </w:rPr>
              <w:t>268</w:t>
            </w:r>
          </w:p>
        </w:tc>
        <w:tc>
          <w:tcPr>
            <w:tcW w:w="2395" w:type="dxa"/>
          </w:tcPr>
          <w:p w:rsidR="000E1081" w:rsidRDefault="000E1081" w:rsidP="006818A6">
            <w:pPr>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Pr>
                <w:rFonts w:ascii="Tahoma" w:hAnsi="Tahoma" w:cs="Tahoma"/>
                <w:sz w:val="20"/>
                <w:szCs w:val="20"/>
              </w:rPr>
              <w:t>45</w:t>
            </w:r>
          </w:p>
        </w:tc>
      </w:tr>
      <w:tr w:rsidR="000E1081" w:rsidTr="006818A6">
        <w:tc>
          <w:tcPr>
            <w:cnfStyle w:val="001000000000" w:firstRow="0" w:lastRow="0" w:firstColumn="1" w:lastColumn="0" w:oddVBand="0" w:evenVBand="0" w:oddHBand="0" w:evenHBand="0" w:firstRowFirstColumn="0" w:firstRowLastColumn="0" w:lastRowFirstColumn="0" w:lastRowLastColumn="0"/>
            <w:tcW w:w="2529" w:type="dxa"/>
          </w:tcPr>
          <w:p w:rsidR="000E1081" w:rsidRDefault="000E1081" w:rsidP="006818A6">
            <w:pPr>
              <w:spacing w:after="200" w:line="276" w:lineRule="auto"/>
              <w:contextualSpacing/>
              <w:rPr>
                <w:rFonts w:ascii="Tahoma" w:hAnsi="Tahoma" w:cs="Tahoma"/>
                <w:sz w:val="20"/>
                <w:szCs w:val="20"/>
              </w:rPr>
            </w:pPr>
            <w:r>
              <w:rPr>
                <w:rFonts w:ascii="Tahoma" w:hAnsi="Tahoma" w:cs="Tahoma"/>
                <w:sz w:val="20"/>
                <w:szCs w:val="20"/>
              </w:rPr>
              <w:t>Moyenne du référentiel</w:t>
            </w:r>
          </w:p>
        </w:tc>
        <w:tc>
          <w:tcPr>
            <w:tcW w:w="1960" w:type="dxa"/>
          </w:tcPr>
          <w:p w:rsidR="000E1081" w:rsidRDefault="000E1081" w:rsidP="006818A6">
            <w:pPr>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Pr>
                <w:rFonts w:ascii="Tahoma" w:hAnsi="Tahoma" w:cs="Tahoma"/>
                <w:sz w:val="20"/>
                <w:szCs w:val="20"/>
              </w:rPr>
              <w:t>5366</w:t>
            </w:r>
          </w:p>
        </w:tc>
        <w:tc>
          <w:tcPr>
            <w:tcW w:w="2404" w:type="dxa"/>
          </w:tcPr>
          <w:p w:rsidR="000E1081" w:rsidRDefault="000E1081" w:rsidP="006818A6">
            <w:pPr>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Pr>
                <w:rFonts w:ascii="Tahoma" w:hAnsi="Tahoma" w:cs="Tahoma"/>
                <w:sz w:val="20"/>
                <w:szCs w:val="20"/>
              </w:rPr>
              <w:t>284</w:t>
            </w:r>
          </w:p>
        </w:tc>
        <w:tc>
          <w:tcPr>
            <w:tcW w:w="2395" w:type="dxa"/>
          </w:tcPr>
          <w:p w:rsidR="000E1081" w:rsidRDefault="000E1081" w:rsidP="006818A6">
            <w:pPr>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Pr>
                <w:rFonts w:ascii="Tahoma" w:hAnsi="Tahoma" w:cs="Tahoma"/>
                <w:sz w:val="20"/>
                <w:szCs w:val="20"/>
              </w:rPr>
              <w:t>55</w:t>
            </w:r>
          </w:p>
        </w:tc>
      </w:tr>
    </w:tbl>
    <w:p w:rsidR="000E1081" w:rsidRDefault="000E1081" w:rsidP="000E1081">
      <w:pPr>
        <w:pStyle w:val="Sansinterligne"/>
        <w:rPr>
          <w:i/>
        </w:rPr>
      </w:pPr>
    </w:p>
    <w:p w:rsidR="000E1081" w:rsidRPr="000E1081" w:rsidRDefault="000E1081" w:rsidP="000E1081">
      <w:pPr>
        <w:pStyle w:val="Sansinterligne"/>
        <w:rPr>
          <w:i/>
        </w:rPr>
      </w:pPr>
      <w:r w:rsidRPr="000E1081">
        <w:rPr>
          <w:i/>
        </w:rPr>
        <w:t xml:space="preserve">Par rapport au référentiel de comparaison, la commune de Delle semble légèrement moins bien équipée que la moyenne. Malgré que la moyenne de la population totale des communes du référentiel soit plus faible, la plupart des communes ont un taux d’équipements pour 1000 habitants plus élevés. </w:t>
      </w:r>
    </w:p>
    <w:p w:rsidR="000E1081" w:rsidRDefault="000E1081" w:rsidP="000E1081">
      <w:pPr>
        <w:pStyle w:val="Sansinterligne"/>
        <w:rPr>
          <w:i/>
        </w:rPr>
      </w:pPr>
      <w:r w:rsidRPr="000E1081">
        <w:rPr>
          <w:i/>
        </w:rPr>
        <w:t>Cependant, Delle a un bon niveau d’équipement en ce qui concerne les commerces et services aux particuliers  puisqu’elle dispose de 121 équipements pour 1000 habitants contre 118 pour le référentiel.</w:t>
      </w:r>
    </w:p>
    <w:p w:rsidR="000E1081" w:rsidRDefault="000E1081" w:rsidP="000E1081">
      <w:pPr>
        <w:pStyle w:val="Sansinterligne"/>
        <w:spacing w:after="120"/>
      </w:pPr>
    </w:p>
    <w:p w:rsidR="000E1081" w:rsidRDefault="000E1081" w:rsidP="000E1081">
      <w:pPr>
        <w:pStyle w:val="Sansinterligne"/>
        <w:spacing w:after="120"/>
      </w:pPr>
      <w:r>
        <w:t xml:space="preserve">Le niveau d’équipement de la commune peut également être comparé en fonction du rayonnement des équipements : </w:t>
      </w:r>
    </w:p>
    <w:tbl>
      <w:tblPr>
        <w:tblStyle w:val="Grillemoyenne2-Accent5"/>
        <w:tblW w:w="0" w:type="auto"/>
        <w:tblLook w:val="04A0" w:firstRow="1" w:lastRow="0" w:firstColumn="1" w:lastColumn="0" w:noHBand="0" w:noVBand="1"/>
      </w:tblPr>
      <w:tblGrid>
        <w:gridCol w:w="4117"/>
        <w:gridCol w:w="1187"/>
        <w:gridCol w:w="1611"/>
        <w:gridCol w:w="1315"/>
        <w:gridCol w:w="1058"/>
      </w:tblGrid>
      <w:tr w:rsidR="000E1081" w:rsidTr="006818A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501" w:type="dxa"/>
          </w:tcPr>
          <w:p w:rsidR="000E1081" w:rsidRDefault="000E1081" w:rsidP="006818A6">
            <w:pPr>
              <w:spacing w:after="200" w:line="276" w:lineRule="auto"/>
              <w:contextualSpacing/>
              <w:rPr>
                <w:rFonts w:ascii="Tahoma" w:hAnsi="Tahoma" w:cs="Tahoma"/>
                <w:sz w:val="20"/>
                <w:szCs w:val="20"/>
              </w:rPr>
            </w:pPr>
            <w:r>
              <w:rPr>
                <w:rFonts w:ascii="Tahoma" w:hAnsi="Tahoma" w:cs="Tahoma"/>
                <w:sz w:val="20"/>
                <w:szCs w:val="20"/>
              </w:rPr>
              <w:t>Pourcentage du nombre d’équipement de la gamme présent sur la commune</w:t>
            </w:r>
            <w:r>
              <w:rPr>
                <w:rStyle w:val="Appelnotedebasdep"/>
                <w:rFonts w:ascii="Tahoma" w:hAnsi="Tahoma" w:cs="Tahoma"/>
                <w:sz w:val="20"/>
                <w:szCs w:val="20"/>
              </w:rPr>
              <w:footnoteReference w:id="4"/>
            </w:r>
          </w:p>
        </w:tc>
        <w:tc>
          <w:tcPr>
            <w:tcW w:w="1107" w:type="dxa"/>
          </w:tcPr>
          <w:p w:rsidR="000E1081" w:rsidRDefault="000E1081" w:rsidP="006818A6">
            <w:pPr>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rPr>
            </w:pPr>
            <w:r>
              <w:rPr>
                <w:rFonts w:ascii="Tahoma" w:hAnsi="Tahoma" w:cs="Tahoma"/>
                <w:sz w:val="20"/>
                <w:szCs w:val="20"/>
              </w:rPr>
              <w:t>Gamme proximité</w:t>
            </w:r>
          </w:p>
        </w:tc>
        <w:tc>
          <w:tcPr>
            <w:tcW w:w="1404" w:type="dxa"/>
          </w:tcPr>
          <w:p w:rsidR="000E1081" w:rsidRDefault="000E1081" w:rsidP="006818A6">
            <w:pPr>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rPr>
            </w:pPr>
            <w:r>
              <w:rPr>
                <w:rFonts w:ascii="Tahoma" w:hAnsi="Tahoma" w:cs="Tahoma"/>
                <w:sz w:val="20"/>
                <w:szCs w:val="20"/>
              </w:rPr>
              <w:t>Gamme Intermédiaire</w:t>
            </w:r>
          </w:p>
        </w:tc>
        <w:tc>
          <w:tcPr>
            <w:tcW w:w="1167" w:type="dxa"/>
          </w:tcPr>
          <w:p w:rsidR="000E1081" w:rsidRDefault="000E1081" w:rsidP="006818A6">
            <w:pPr>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rPr>
            </w:pPr>
            <w:r>
              <w:rPr>
                <w:rFonts w:ascii="Tahoma" w:hAnsi="Tahoma" w:cs="Tahoma"/>
                <w:sz w:val="20"/>
                <w:szCs w:val="20"/>
              </w:rPr>
              <w:t>Gamme Supérieure</w:t>
            </w:r>
          </w:p>
        </w:tc>
        <w:tc>
          <w:tcPr>
            <w:tcW w:w="1109" w:type="dxa"/>
          </w:tcPr>
          <w:p w:rsidR="000E1081" w:rsidRDefault="000E1081" w:rsidP="006818A6">
            <w:pPr>
              <w:spacing w:after="200" w:line="276" w:lineRule="auto"/>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rPr>
            </w:pPr>
            <w:r>
              <w:rPr>
                <w:rFonts w:ascii="Tahoma" w:hAnsi="Tahoma" w:cs="Tahoma"/>
                <w:sz w:val="20"/>
                <w:szCs w:val="20"/>
              </w:rPr>
              <w:t>Total</w:t>
            </w:r>
          </w:p>
        </w:tc>
      </w:tr>
      <w:tr w:rsidR="000E1081" w:rsidTr="006818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1" w:type="dxa"/>
          </w:tcPr>
          <w:p w:rsidR="000E1081" w:rsidRDefault="000E1081" w:rsidP="006818A6">
            <w:pPr>
              <w:spacing w:after="200" w:line="276" w:lineRule="auto"/>
              <w:contextualSpacing/>
              <w:rPr>
                <w:rFonts w:ascii="Tahoma" w:hAnsi="Tahoma" w:cs="Tahoma"/>
                <w:sz w:val="20"/>
                <w:szCs w:val="20"/>
              </w:rPr>
            </w:pPr>
            <w:r>
              <w:rPr>
                <w:rFonts w:ascii="Tahoma" w:hAnsi="Tahoma" w:cs="Tahoma"/>
                <w:sz w:val="20"/>
                <w:szCs w:val="20"/>
              </w:rPr>
              <w:t>Delle</w:t>
            </w:r>
          </w:p>
        </w:tc>
        <w:tc>
          <w:tcPr>
            <w:tcW w:w="1107" w:type="dxa"/>
          </w:tcPr>
          <w:p w:rsidR="000E1081" w:rsidRDefault="000E1081" w:rsidP="006818A6">
            <w:pPr>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Pr>
                <w:rFonts w:ascii="Tahoma" w:hAnsi="Tahoma" w:cs="Tahoma"/>
                <w:sz w:val="20"/>
                <w:szCs w:val="20"/>
              </w:rPr>
              <w:t>97%</w:t>
            </w:r>
          </w:p>
        </w:tc>
        <w:tc>
          <w:tcPr>
            <w:tcW w:w="1404" w:type="dxa"/>
          </w:tcPr>
          <w:p w:rsidR="000E1081" w:rsidRDefault="000E1081" w:rsidP="006818A6">
            <w:pPr>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Pr>
                <w:rFonts w:ascii="Tahoma" w:hAnsi="Tahoma" w:cs="Tahoma"/>
                <w:sz w:val="20"/>
                <w:szCs w:val="20"/>
              </w:rPr>
              <w:t>72%</w:t>
            </w:r>
          </w:p>
        </w:tc>
        <w:tc>
          <w:tcPr>
            <w:tcW w:w="1167" w:type="dxa"/>
          </w:tcPr>
          <w:p w:rsidR="000E1081" w:rsidRDefault="000E1081" w:rsidP="006818A6">
            <w:pPr>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Pr>
                <w:rFonts w:ascii="Tahoma" w:hAnsi="Tahoma" w:cs="Tahoma"/>
                <w:sz w:val="20"/>
                <w:szCs w:val="20"/>
              </w:rPr>
              <w:t>27%</w:t>
            </w:r>
          </w:p>
        </w:tc>
        <w:tc>
          <w:tcPr>
            <w:tcW w:w="1109" w:type="dxa"/>
          </w:tcPr>
          <w:p w:rsidR="000E1081" w:rsidRDefault="000E1081" w:rsidP="006818A6">
            <w:pPr>
              <w:spacing w:after="200" w:line="276" w:lineRule="auto"/>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Pr>
                <w:rFonts w:ascii="Tahoma" w:hAnsi="Tahoma" w:cs="Tahoma"/>
                <w:sz w:val="20"/>
                <w:szCs w:val="20"/>
              </w:rPr>
              <w:t>62%</w:t>
            </w:r>
          </w:p>
        </w:tc>
      </w:tr>
      <w:tr w:rsidR="000E1081" w:rsidTr="006818A6">
        <w:tc>
          <w:tcPr>
            <w:cnfStyle w:val="001000000000" w:firstRow="0" w:lastRow="0" w:firstColumn="1" w:lastColumn="0" w:oddVBand="0" w:evenVBand="0" w:oddHBand="0" w:evenHBand="0" w:firstRowFirstColumn="0" w:firstRowLastColumn="0" w:lastRowFirstColumn="0" w:lastRowLastColumn="0"/>
            <w:tcW w:w="4501" w:type="dxa"/>
          </w:tcPr>
          <w:p w:rsidR="000E1081" w:rsidRDefault="000E1081" w:rsidP="006818A6">
            <w:pPr>
              <w:spacing w:after="200" w:line="276" w:lineRule="auto"/>
              <w:contextualSpacing/>
              <w:rPr>
                <w:rFonts w:ascii="Tahoma" w:hAnsi="Tahoma" w:cs="Tahoma"/>
                <w:sz w:val="20"/>
                <w:szCs w:val="20"/>
              </w:rPr>
            </w:pPr>
            <w:r>
              <w:rPr>
                <w:rFonts w:ascii="Tahoma" w:hAnsi="Tahoma" w:cs="Tahoma"/>
                <w:sz w:val="20"/>
                <w:szCs w:val="20"/>
              </w:rPr>
              <w:t>Moyenne du référentiel</w:t>
            </w:r>
          </w:p>
        </w:tc>
        <w:tc>
          <w:tcPr>
            <w:tcW w:w="1107" w:type="dxa"/>
          </w:tcPr>
          <w:p w:rsidR="000E1081" w:rsidRDefault="000E1081" w:rsidP="006818A6">
            <w:pPr>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Pr>
                <w:rFonts w:ascii="Tahoma" w:hAnsi="Tahoma" w:cs="Tahoma"/>
                <w:sz w:val="20"/>
                <w:szCs w:val="20"/>
              </w:rPr>
              <w:t>94%</w:t>
            </w:r>
          </w:p>
        </w:tc>
        <w:tc>
          <w:tcPr>
            <w:tcW w:w="1404" w:type="dxa"/>
          </w:tcPr>
          <w:p w:rsidR="000E1081" w:rsidRDefault="000E1081" w:rsidP="006818A6">
            <w:pPr>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Pr>
                <w:rFonts w:ascii="Tahoma" w:hAnsi="Tahoma" w:cs="Tahoma"/>
                <w:sz w:val="20"/>
                <w:szCs w:val="20"/>
              </w:rPr>
              <w:t>77%</w:t>
            </w:r>
          </w:p>
        </w:tc>
        <w:tc>
          <w:tcPr>
            <w:tcW w:w="1167" w:type="dxa"/>
          </w:tcPr>
          <w:p w:rsidR="000E1081" w:rsidRDefault="000E1081" w:rsidP="006818A6">
            <w:pPr>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Pr>
                <w:rFonts w:ascii="Tahoma" w:hAnsi="Tahoma" w:cs="Tahoma"/>
                <w:sz w:val="20"/>
                <w:szCs w:val="20"/>
              </w:rPr>
              <w:t>25%</w:t>
            </w:r>
          </w:p>
        </w:tc>
        <w:tc>
          <w:tcPr>
            <w:tcW w:w="1109" w:type="dxa"/>
          </w:tcPr>
          <w:p w:rsidR="000E1081" w:rsidRDefault="000E1081" w:rsidP="006818A6">
            <w:pPr>
              <w:spacing w:after="200" w:line="276" w:lineRule="auto"/>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Pr>
                <w:rFonts w:ascii="Tahoma" w:hAnsi="Tahoma" w:cs="Tahoma"/>
                <w:sz w:val="20"/>
                <w:szCs w:val="20"/>
              </w:rPr>
              <w:t>62%</w:t>
            </w:r>
          </w:p>
        </w:tc>
      </w:tr>
    </w:tbl>
    <w:p w:rsidR="000E1081" w:rsidRDefault="000E1081"/>
    <w:p w:rsidR="00312FF7" w:rsidRDefault="00312FF7">
      <w:pPr>
        <w:spacing w:before="0"/>
        <w:jc w:val="left"/>
        <w:rPr>
          <w:rFonts w:eastAsiaTheme="minorEastAsia" w:cstheme="minorBidi"/>
          <w:i/>
          <w:color w:val="auto"/>
          <w:u w:val="single"/>
        </w:rPr>
      </w:pPr>
      <w:r>
        <w:rPr>
          <w:i/>
          <w:u w:val="single"/>
        </w:rPr>
        <w:br w:type="page"/>
      </w:r>
    </w:p>
    <w:p w:rsidR="00011FDC" w:rsidRPr="00D62094" w:rsidRDefault="00D62094" w:rsidP="00D62094">
      <w:pPr>
        <w:pStyle w:val="Sansinterligne"/>
        <w:rPr>
          <w:i/>
          <w:u w:val="single"/>
        </w:rPr>
      </w:pPr>
      <w:r w:rsidRPr="000E1081">
        <w:rPr>
          <w:i/>
          <w:u w:val="single"/>
        </w:rPr>
        <w:lastRenderedPageBreak/>
        <w:t>Propos</w:t>
      </w:r>
      <w:r>
        <w:rPr>
          <w:i/>
          <w:u w:val="single"/>
        </w:rPr>
        <w:t>ition de rédaction (</w:t>
      </w:r>
      <w:proofErr w:type="spellStart"/>
      <w:r>
        <w:rPr>
          <w:i/>
          <w:u w:val="single"/>
        </w:rPr>
        <w:t>PLUi</w:t>
      </w:r>
      <w:proofErr w:type="spellEnd"/>
      <w:r>
        <w:rPr>
          <w:i/>
          <w:u w:val="single"/>
        </w:rPr>
        <w:t xml:space="preserve"> de la Haute Savoureuse</w:t>
      </w:r>
      <w:r w:rsidRPr="000E1081">
        <w:rPr>
          <w:i/>
          <w:u w:val="single"/>
        </w:rPr>
        <w:t>) :</w:t>
      </w:r>
    </w:p>
    <w:p w:rsidR="00D62094" w:rsidRPr="00D62094" w:rsidRDefault="00D62094" w:rsidP="00D62094">
      <w:pPr>
        <w:spacing w:before="240" w:line="240" w:lineRule="auto"/>
        <w:rPr>
          <w:rFonts w:ascii="Lucida Sans" w:hAnsi="Lucida Sans"/>
          <w:b/>
        </w:rPr>
      </w:pPr>
      <w:r>
        <w:rPr>
          <w:rFonts w:ascii="Lucida Sans" w:hAnsi="Lucida Sans"/>
          <w:b/>
        </w:rPr>
        <w:t xml:space="preserve">Giromagny, </w:t>
      </w:r>
      <w:r w:rsidRPr="00D62094">
        <w:rPr>
          <w:rFonts w:ascii="Lucida Sans" w:hAnsi="Lucida Sans"/>
          <w:b/>
        </w:rPr>
        <w:t xml:space="preserve">Pôle structurant au niveau du </w:t>
      </w:r>
      <w:proofErr w:type="spellStart"/>
      <w:r w:rsidRPr="00D62094">
        <w:rPr>
          <w:rFonts w:ascii="Lucida Sans" w:hAnsi="Lucida Sans"/>
          <w:b/>
        </w:rPr>
        <w:t>SCoT</w:t>
      </w:r>
      <w:proofErr w:type="spellEnd"/>
      <w:r w:rsidRPr="00D62094">
        <w:rPr>
          <w:rFonts w:ascii="Lucida Sans" w:hAnsi="Lucida Sans"/>
          <w:b/>
        </w:rPr>
        <w:t xml:space="preserve"> et de l’Aire Urbaine</w:t>
      </w:r>
    </w:p>
    <w:p w:rsidR="00D62094" w:rsidRPr="00D62094" w:rsidRDefault="00D62094" w:rsidP="00D62094">
      <w:pPr>
        <w:pStyle w:val="Sansinterligne"/>
        <w:spacing w:before="240"/>
        <w:rPr>
          <w:i/>
        </w:rPr>
      </w:pPr>
      <w:r w:rsidRPr="00D62094">
        <w:rPr>
          <w:i/>
        </w:rPr>
        <w:t xml:space="preserve">Dans le cadre du travail de définition d’une armature urbaine réalisé par le SCOT du Territoire de Belfort, approuvé en février 2014, plusieurs </w:t>
      </w:r>
      <w:r w:rsidRPr="00D62094">
        <w:rPr>
          <w:b/>
          <w:i/>
        </w:rPr>
        <w:t>pôles structurants</w:t>
      </w:r>
      <w:r w:rsidRPr="00D62094">
        <w:rPr>
          <w:i/>
        </w:rPr>
        <w:t xml:space="preserve"> ont été définis sur la base de critères démographiques, économiques (emploi) et sur l’offre d’équipements et de services. Au total, huit pôles structurent le Territoire de Belfort élargi à l’Aire Urbaine (SMAU) dont Giromagny. </w:t>
      </w:r>
    </w:p>
    <w:p w:rsidR="00D62094" w:rsidRPr="00D62094" w:rsidRDefault="00D62094" w:rsidP="00D62094">
      <w:pPr>
        <w:pStyle w:val="Sansinterligne"/>
        <w:rPr>
          <w:i/>
        </w:rPr>
      </w:pPr>
    </w:p>
    <w:p w:rsidR="00D62094" w:rsidRPr="00D62094" w:rsidRDefault="00D62094" w:rsidP="00D62094">
      <w:pPr>
        <w:pStyle w:val="Sansinterligne"/>
        <w:rPr>
          <w:i/>
        </w:rPr>
      </w:pPr>
      <w:r w:rsidRPr="00D62094">
        <w:rPr>
          <w:i/>
        </w:rPr>
        <w:t xml:space="preserve">Une comparaison de ces différents pôles a été effectuée afin de définir le niveau d’équipement et de services de Giromagny en tant que pôle structurant. La comparaison s’effectue sur la base d’un indicateur : le nombre d’équipements pour 1000 habitants. Cet indicateur prend en compte la diversité des équipements et non leur quantité. Aussi, une commune peut avoir un grand nombre d’équipements pour 1000 habitants par rapport à une autre montrant ainsi qu’elle a une offre diversifiée. Cependant, cet indicateur ne permet pas de savoir si la quantité d’équipements suffit à la population. </w:t>
      </w:r>
    </w:p>
    <w:p w:rsidR="00D62094" w:rsidRPr="00D62094" w:rsidRDefault="00D62094" w:rsidP="00D62094">
      <w:pPr>
        <w:pStyle w:val="Sansinterligne"/>
        <w:rPr>
          <w:i/>
        </w:rPr>
      </w:pPr>
    </w:p>
    <w:p w:rsidR="00D62094" w:rsidRPr="00D62094" w:rsidRDefault="00D62094" w:rsidP="00D62094">
      <w:pPr>
        <w:pStyle w:val="Sansinterligne"/>
        <w:rPr>
          <w:i/>
        </w:rPr>
      </w:pPr>
      <w:r w:rsidRPr="00D62094">
        <w:rPr>
          <w:i/>
        </w:rPr>
        <w:t xml:space="preserve">La diversité des équipements et des services est un des facteurs d’attractivité et de développement du territoire. Elle augmente en fonction de la taille et des caractéristiques de la population. Une bonne diversité des équipements et des services permet en quelque sorte une indépendance de la commune. En effet, si la commune ne présente que quelques types d’équipements, elle devient dépendante des communes environnantes et perd en attractivité par rapport aux autres pôles. </w:t>
      </w:r>
    </w:p>
    <w:p w:rsidR="00D62094" w:rsidRPr="00D62094" w:rsidRDefault="00D62094" w:rsidP="00D62094">
      <w:pPr>
        <w:pStyle w:val="Sansinterligne"/>
        <w:rPr>
          <w:i/>
        </w:rPr>
      </w:pPr>
    </w:p>
    <w:p w:rsidR="00D62094" w:rsidRPr="00D62094" w:rsidRDefault="00D62094" w:rsidP="00D62094">
      <w:pPr>
        <w:pStyle w:val="Sansinterligne"/>
        <w:rPr>
          <w:i/>
        </w:rPr>
      </w:pPr>
      <w:r w:rsidRPr="00D62094">
        <w:rPr>
          <w:i/>
        </w:rPr>
        <w:t xml:space="preserve">Malgré une population totale et un nombre d’emplois au lieu de travail plus élevé dans les autres pôles structurants, Giromagny dispose d’une bonne offre en équipements et en services, au-dessus de la moyenne des autres pôles. </w:t>
      </w:r>
    </w:p>
    <w:p w:rsidR="00D62094" w:rsidRPr="00563FF7" w:rsidRDefault="00D62094" w:rsidP="00D62094">
      <w:pPr>
        <w:rPr>
          <w:rFonts w:ascii="Lucida Sans" w:hAnsi="Lucida Sans"/>
        </w:rPr>
      </w:pPr>
    </w:p>
    <w:tbl>
      <w:tblPr>
        <w:tblStyle w:val="Grillemoyenne3-Accent5"/>
        <w:tblW w:w="0" w:type="auto"/>
        <w:tblLook w:val="04A0" w:firstRow="1" w:lastRow="0" w:firstColumn="1" w:lastColumn="0" w:noHBand="0" w:noVBand="1"/>
      </w:tblPr>
      <w:tblGrid>
        <w:gridCol w:w="1626"/>
        <w:gridCol w:w="1762"/>
        <w:gridCol w:w="1741"/>
        <w:gridCol w:w="2079"/>
        <w:gridCol w:w="2080"/>
      </w:tblGrid>
      <w:tr w:rsidR="00D62094" w:rsidRPr="00563FF7" w:rsidTr="006818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vAlign w:val="center"/>
          </w:tcPr>
          <w:p w:rsidR="00D62094" w:rsidRPr="00563FF7" w:rsidRDefault="00D62094" w:rsidP="006818A6">
            <w:pPr>
              <w:jc w:val="center"/>
              <w:rPr>
                <w:rFonts w:ascii="Lucida Sans" w:hAnsi="Lucida Sans"/>
              </w:rPr>
            </w:pPr>
          </w:p>
        </w:tc>
        <w:tc>
          <w:tcPr>
            <w:tcW w:w="1842" w:type="dxa"/>
            <w:vAlign w:val="center"/>
          </w:tcPr>
          <w:p w:rsidR="00D62094" w:rsidRPr="00563FF7" w:rsidRDefault="00D62094" w:rsidP="006818A6">
            <w:pPr>
              <w:jc w:val="center"/>
              <w:cnfStyle w:val="100000000000" w:firstRow="1" w:lastRow="0" w:firstColumn="0" w:lastColumn="0" w:oddVBand="0" w:evenVBand="0" w:oddHBand="0" w:evenHBand="0" w:firstRowFirstColumn="0" w:firstRowLastColumn="0" w:lastRowFirstColumn="0" w:lastRowLastColumn="0"/>
              <w:rPr>
                <w:rFonts w:ascii="Lucida Sans" w:hAnsi="Lucida Sans"/>
              </w:rPr>
            </w:pPr>
            <w:r w:rsidRPr="00563FF7">
              <w:rPr>
                <w:rFonts w:ascii="Lucida Sans" w:hAnsi="Lucida Sans"/>
              </w:rPr>
              <w:t>Population totale (2012)</w:t>
            </w:r>
          </w:p>
        </w:tc>
        <w:tc>
          <w:tcPr>
            <w:tcW w:w="1843" w:type="dxa"/>
            <w:vAlign w:val="center"/>
          </w:tcPr>
          <w:p w:rsidR="00D62094" w:rsidRPr="00563FF7" w:rsidRDefault="00D62094" w:rsidP="006818A6">
            <w:pPr>
              <w:jc w:val="center"/>
              <w:cnfStyle w:val="100000000000" w:firstRow="1" w:lastRow="0" w:firstColumn="0" w:lastColumn="0" w:oddVBand="0" w:evenVBand="0" w:oddHBand="0" w:evenHBand="0" w:firstRowFirstColumn="0" w:firstRowLastColumn="0" w:lastRowFirstColumn="0" w:lastRowLastColumn="0"/>
              <w:rPr>
                <w:rFonts w:ascii="Lucida Sans" w:hAnsi="Lucida Sans"/>
              </w:rPr>
            </w:pPr>
            <w:r w:rsidRPr="00563FF7">
              <w:rPr>
                <w:rFonts w:ascii="Lucida Sans" w:hAnsi="Lucida Sans"/>
              </w:rPr>
              <w:t>Nombre d’emplois au lieu de travail</w:t>
            </w:r>
          </w:p>
        </w:tc>
        <w:tc>
          <w:tcPr>
            <w:tcW w:w="2126" w:type="dxa"/>
            <w:vAlign w:val="center"/>
          </w:tcPr>
          <w:p w:rsidR="00D62094" w:rsidRPr="00563FF7" w:rsidRDefault="00D62094" w:rsidP="006818A6">
            <w:pPr>
              <w:jc w:val="center"/>
              <w:cnfStyle w:val="100000000000" w:firstRow="1" w:lastRow="0" w:firstColumn="0" w:lastColumn="0" w:oddVBand="0" w:evenVBand="0" w:oddHBand="0" w:evenHBand="0" w:firstRowFirstColumn="0" w:firstRowLastColumn="0" w:lastRowFirstColumn="0" w:lastRowLastColumn="0"/>
              <w:rPr>
                <w:rFonts w:ascii="Lucida Sans" w:hAnsi="Lucida Sans"/>
              </w:rPr>
            </w:pPr>
            <w:r w:rsidRPr="00563FF7">
              <w:rPr>
                <w:rFonts w:ascii="Lucida Sans" w:hAnsi="Lucida Sans"/>
              </w:rPr>
              <w:t>Nombre d’équipements pour 1000 habitants</w:t>
            </w:r>
          </w:p>
        </w:tc>
        <w:tc>
          <w:tcPr>
            <w:tcW w:w="2127" w:type="dxa"/>
            <w:vAlign w:val="center"/>
          </w:tcPr>
          <w:p w:rsidR="00D62094" w:rsidRPr="00563FF7" w:rsidRDefault="00D62094" w:rsidP="006818A6">
            <w:pPr>
              <w:jc w:val="center"/>
              <w:cnfStyle w:val="100000000000" w:firstRow="1" w:lastRow="0" w:firstColumn="0" w:lastColumn="0" w:oddVBand="0" w:evenVBand="0" w:oddHBand="0" w:evenHBand="0" w:firstRowFirstColumn="0" w:firstRowLastColumn="0" w:lastRowFirstColumn="0" w:lastRowLastColumn="0"/>
              <w:rPr>
                <w:rFonts w:ascii="Lucida Sans" w:hAnsi="Lucida Sans"/>
              </w:rPr>
            </w:pPr>
            <w:r w:rsidRPr="00563FF7">
              <w:rPr>
                <w:rFonts w:ascii="Lucida Sans" w:hAnsi="Lucida Sans"/>
              </w:rPr>
              <w:t>Nombre d’équipements pour 1000 emplois au lieu de travail</w:t>
            </w:r>
          </w:p>
        </w:tc>
      </w:tr>
      <w:tr w:rsidR="00D62094" w:rsidRPr="00563FF7" w:rsidTr="006818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vAlign w:val="center"/>
          </w:tcPr>
          <w:p w:rsidR="00D62094" w:rsidRPr="00563FF7" w:rsidRDefault="00D62094" w:rsidP="006818A6">
            <w:pPr>
              <w:jc w:val="left"/>
              <w:rPr>
                <w:rFonts w:ascii="Lucida Sans" w:hAnsi="Lucida Sans"/>
              </w:rPr>
            </w:pPr>
            <w:r w:rsidRPr="00563FF7">
              <w:rPr>
                <w:rFonts w:ascii="Lucida Sans" w:hAnsi="Lucida Sans"/>
              </w:rPr>
              <w:t>Giromagny</w:t>
            </w:r>
          </w:p>
        </w:tc>
        <w:tc>
          <w:tcPr>
            <w:tcW w:w="1842" w:type="dxa"/>
            <w:vAlign w:val="center"/>
          </w:tcPr>
          <w:p w:rsidR="00D62094" w:rsidRPr="00563FF7" w:rsidRDefault="00D62094" w:rsidP="006818A6">
            <w:pPr>
              <w:jc w:val="center"/>
              <w:cnfStyle w:val="000000100000" w:firstRow="0" w:lastRow="0" w:firstColumn="0" w:lastColumn="0" w:oddVBand="0" w:evenVBand="0" w:oddHBand="1" w:evenHBand="0" w:firstRowFirstColumn="0" w:firstRowLastColumn="0" w:lastRowFirstColumn="0" w:lastRowLastColumn="0"/>
              <w:rPr>
                <w:rFonts w:ascii="Lucida Sans" w:hAnsi="Lucida Sans"/>
              </w:rPr>
            </w:pPr>
            <w:r w:rsidRPr="00563FF7">
              <w:rPr>
                <w:rFonts w:ascii="Lucida Sans" w:hAnsi="Lucida Sans"/>
              </w:rPr>
              <w:t>3245</w:t>
            </w:r>
          </w:p>
        </w:tc>
        <w:tc>
          <w:tcPr>
            <w:tcW w:w="1843" w:type="dxa"/>
            <w:vAlign w:val="center"/>
          </w:tcPr>
          <w:p w:rsidR="00D62094" w:rsidRPr="00563FF7" w:rsidRDefault="00D62094" w:rsidP="006818A6">
            <w:pPr>
              <w:jc w:val="center"/>
              <w:cnfStyle w:val="000000100000" w:firstRow="0" w:lastRow="0" w:firstColumn="0" w:lastColumn="0" w:oddVBand="0" w:evenVBand="0" w:oddHBand="1" w:evenHBand="0" w:firstRowFirstColumn="0" w:firstRowLastColumn="0" w:lastRowFirstColumn="0" w:lastRowLastColumn="0"/>
              <w:rPr>
                <w:rFonts w:ascii="Lucida Sans" w:hAnsi="Lucida Sans"/>
              </w:rPr>
            </w:pPr>
            <w:r w:rsidRPr="00563FF7">
              <w:rPr>
                <w:rFonts w:ascii="Lucida Sans" w:hAnsi="Lucida Sans"/>
              </w:rPr>
              <w:t>866</w:t>
            </w:r>
          </w:p>
        </w:tc>
        <w:tc>
          <w:tcPr>
            <w:tcW w:w="2126" w:type="dxa"/>
            <w:vAlign w:val="center"/>
          </w:tcPr>
          <w:p w:rsidR="00D62094" w:rsidRPr="00563FF7" w:rsidRDefault="00D62094" w:rsidP="006818A6">
            <w:pPr>
              <w:jc w:val="center"/>
              <w:cnfStyle w:val="000000100000" w:firstRow="0" w:lastRow="0" w:firstColumn="0" w:lastColumn="0" w:oddVBand="0" w:evenVBand="0" w:oddHBand="1" w:evenHBand="0" w:firstRowFirstColumn="0" w:firstRowLastColumn="0" w:lastRowFirstColumn="0" w:lastRowLastColumn="0"/>
              <w:rPr>
                <w:rFonts w:ascii="Lucida Sans" w:hAnsi="Lucida Sans"/>
              </w:rPr>
            </w:pPr>
            <w:r w:rsidRPr="00563FF7">
              <w:rPr>
                <w:rFonts w:ascii="Lucida Sans" w:hAnsi="Lucida Sans"/>
              </w:rPr>
              <w:t>45.6</w:t>
            </w:r>
          </w:p>
        </w:tc>
        <w:tc>
          <w:tcPr>
            <w:tcW w:w="2127" w:type="dxa"/>
            <w:vAlign w:val="center"/>
          </w:tcPr>
          <w:p w:rsidR="00D62094" w:rsidRPr="00563FF7" w:rsidRDefault="00D62094" w:rsidP="006818A6">
            <w:pPr>
              <w:jc w:val="center"/>
              <w:cnfStyle w:val="000000100000" w:firstRow="0" w:lastRow="0" w:firstColumn="0" w:lastColumn="0" w:oddVBand="0" w:evenVBand="0" w:oddHBand="1" w:evenHBand="0" w:firstRowFirstColumn="0" w:firstRowLastColumn="0" w:lastRowFirstColumn="0" w:lastRowLastColumn="0"/>
              <w:rPr>
                <w:rFonts w:ascii="Lucida Sans" w:hAnsi="Lucida Sans"/>
              </w:rPr>
            </w:pPr>
            <w:r w:rsidRPr="00563FF7">
              <w:rPr>
                <w:rFonts w:ascii="Lucida Sans" w:hAnsi="Lucida Sans"/>
              </w:rPr>
              <w:t>170.9</w:t>
            </w:r>
          </w:p>
        </w:tc>
      </w:tr>
      <w:tr w:rsidR="00D62094" w:rsidRPr="00563FF7" w:rsidTr="006818A6">
        <w:tc>
          <w:tcPr>
            <w:cnfStyle w:val="001000000000" w:firstRow="0" w:lastRow="0" w:firstColumn="1" w:lastColumn="0" w:oddVBand="0" w:evenVBand="0" w:oddHBand="0" w:evenHBand="0" w:firstRowFirstColumn="0" w:firstRowLastColumn="0" w:lastRowFirstColumn="0" w:lastRowLastColumn="0"/>
            <w:tcW w:w="1668" w:type="dxa"/>
            <w:vAlign w:val="center"/>
          </w:tcPr>
          <w:p w:rsidR="00D62094" w:rsidRPr="00563FF7" w:rsidRDefault="00D62094" w:rsidP="006818A6">
            <w:pPr>
              <w:jc w:val="left"/>
              <w:rPr>
                <w:rFonts w:ascii="Lucida Sans" w:hAnsi="Lucida Sans"/>
              </w:rPr>
            </w:pPr>
            <w:r w:rsidRPr="00563FF7">
              <w:rPr>
                <w:rFonts w:ascii="Lucida Sans" w:hAnsi="Lucida Sans"/>
              </w:rPr>
              <w:t>Autres pôles</w:t>
            </w:r>
          </w:p>
        </w:tc>
        <w:tc>
          <w:tcPr>
            <w:tcW w:w="1842" w:type="dxa"/>
            <w:vAlign w:val="center"/>
          </w:tcPr>
          <w:p w:rsidR="00D62094" w:rsidRPr="00563FF7" w:rsidRDefault="00D62094" w:rsidP="006818A6">
            <w:pPr>
              <w:jc w:val="center"/>
              <w:cnfStyle w:val="000000000000" w:firstRow="0" w:lastRow="0" w:firstColumn="0" w:lastColumn="0" w:oddVBand="0" w:evenVBand="0" w:oddHBand="0" w:evenHBand="0" w:firstRowFirstColumn="0" w:firstRowLastColumn="0" w:lastRowFirstColumn="0" w:lastRowLastColumn="0"/>
              <w:rPr>
                <w:rFonts w:ascii="Lucida Sans" w:hAnsi="Lucida Sans"/>
              </w:rPr>
            </w:pPr>
            <w:r w:rsidRPr="00563FF7">
              <w:rPr>
                <w:rFonts w:ascii="Lucida Sans" w:hAnsi="Lucida Sans"/>
              </w:rPr>
              <w:t>7991</w:t>
            </w:r>
          </w:p>
        </w:tc>
        <w:tc>
          <w:tcPr>
            <w:tcW w:w="1843" w:type="dxa"/>
            <w:vAlign w:val="center"/>
          </w:tcPr>
          <w:p w:rsidR="00D62094" w:rsidRPr="00563FF7" w:rsidRDefault="00D62094" w:rsidP="006818A6">
            <w:pPr>
              <w:jc w:val="center"/>
              <w:cnfStyle w:val="000000000000" w:firstRow="0" w:lastRow="0" w:firstColumn="0" w:lastColumn="0" w:oddVBand="0" w:evenVBand="0" w:oddHBand="0" w:evenHBand="0" w:firstRowFirstColumn="0" w:firstRowLastColumn="0" w:lastRowFirstColumn="0" w:lastRowLastColumn="0"/>
              <w:rPr>
                <w:rFonts w:ascii="Lucida Sans" w:hAnsi="Lucida Sans"/>
              </w:rPr>
            </w:pPr>
            <w:r w:rsidRPr="00563FF7">
              <w:rPr>
                <w:rFonts w:ascii="Lucida Sans" w:hAnsi="Lucida Sans"/>
              </w:rPr>
              <w:t>5094</w:t>
            </w:r>
          </w:p>
        </w:tc>
        <w:tc>
          <w:tcPr>
            <w:tcW w:w="2126" w:type="dxa"/>
            <w:vAlign w:val="center"/>
          </w:tcPr>
          <w:p w:rsidR="00D62094" w:rsidRPr="00563FF7" w:rsidRDefault="00D62094" w:rsidP="006818A6">
            <w:pPr>
              <w:jc w:val="center"/>
              <w:cnfStyle w:val="000000000000" w:firstRow="0" w:lastRow="0" w:firstColumn="0" w:lastColumn="0" w:oddVBand="0" w:evenVBand="0" w:oddHBand="0" w:evenHBand="0" w:firstRowFirstColumn="0" w:firstRowLastColumn="0" w:lastRowFirstColumn="0" w:lastRowLastColumn="0"/>
              <w:rPr>
                <w:rFonts w:ascii="Lucida Sans" w:hAnsi="Lucida Sans"/>
              </w:rPr>
            </w:pPr>
            <w:r w:rsidRPr="00563FF7">
              <w:rPr>
                <w:rFonts w:ascii="Lucida Sans" w:hAnsi="Lucida Sans"/>
              </w:rPr>
              <w:t>35.1</w:t>
            </w:r>
          </w:p>
        </w:tc>
        <w:tc>
          <w:tcPr>
            <w:tcW w:w="2127" w:type="dxa"/>
            <w:vAlign w:val="center"/>
          </w:tcPr>
          <w:p w:rsidR="00D62094" w:rsidRPr="00563FF7" w:rsidRDefault="00D62094" w:rsidP="006818A6">
            <w:pPr>
              <w:jc w:val="center"/>
              <w:cnfStyle w:val="000000000000" w:firstRow="0" w:lastRow="0" w:firstColumn="0" w:lastColumn="0" w:oddVBand="0" w:evenVBand="0" w:oddHBand="0" w:evenHBand="0" w:firstRowFirstColumn="0" w:firstRowLastColumn="0" w:lastRowFirstColumn="0" w:lastRowLastColumn="0"/>
              <w:rPr>
                <w:rFonts w:ascii="Lucida Sans" w:hAnsi="Lucida Sans"/>
              </w:rPr>
            </w:pPr>
            <w:r w:rsidRPr="00563FF7">
              <w:rPr>
                <w:rFonts w:ascii="Lucida Sans" w:hAnsi="Lucida Sans"/>
              </w:rPr>
              <w:t>89.5</w:t>
            </w:r>
          </w:p>
        </w:tc>
      </w:tr>
    </w:tbl>
    <w:p w:rsidR="00D62094" w:rsidRDefault="00D62094" w:rsidP="00D62094">
      <w:pPr>
        <w:jc w:val="left"/>
        <w:rPr>
          <w:rFonts w:ascii="Lucida Sans" w:hAnsi="Lucida Sans"/>
          <w:noProof/>
        </w:rPr>
      </w:pPr>
    </w:p>
    <w:p w:rsidR="00D62094" w:rsidRPr="00D62094" w:rsidRDefault="00D62094" w:rsidP="00D62094">
      <w:pPr>
        <w:jc w:val="left"/>
        <w:rPr>
          <w:rFonts w:ascii="Lucida Sans" w:hAnsi="Lucida Sans"/>
        </w:rPr>
      </w:pPr>
      <w:r>
        <w:rPr>
          <w:noProof/>
        </w:rPr>
        <w:lastRenderedPageBreak/>
        <w:drawing>
          <wp:inline distT="0" distB="0" distL="0" distR="0" wp14:anchorId="01741BEB" wp14:editId="5E5FB580">
            <wp:extent cx="4133757" cy="2505693"/>
            <wp:effectExtent l="0" t="0" r="19685" b="9525"/>
            <wp:docPr id="10" name="Graphique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12FF7" w:rsidRDefault="00312FF7" w:rsidP="00D62094">
      <w:pPr>
        <w:pStyle w:val="Sansinterligne"/>
        <w:rPr>
          <w:i/>
        </w:rPr>
      </w:pPr>
    </w:p>
    <w:p w:rsidR="00D62094" w:rsidRPr="00D62094" w:rsidRDefault="00D62094" w:rsidP="00D62094">
      <w:pPr>
        <w:pStyle w:val="Sansinterligne"/>
        <w:rPr>
          <w:i/>
        </w:rPr>
      </w:pPr>
      <w:r w:rsidRPr="00D62094">
        <w:rPr>
          <w:i/>
        </w:rPr>
        <w:t xml:space="preserve">Giromagny dispose d’une offre en équipements et services largement supérieure à la moyenne des autres pôles structurants au regard de sa population totale, bien que beaucoup moins élevée. </w:t>
      </w:r>
    </w:p>
    <w:p w:rsidR="00D62094" w:rsidRPr="00563FF7" w:rsidRDefault="00D62094" w:rsidP="00D62094">
      <w:pPr>
        <w:jc w:val="left"/>
        <w:rPr>
          <w:rFonts w:ascii="Lucida Sans" w:hAnsi="Lucida Sans"/>
        </w:rPr>
      </w:pPr>
    </w:p>
    <w:p w:rsidR="00D62094" w:rsidRDefault="00D62094" w:rsidP="00D62094">
      <w:pPr>
        <w:rPr>
          <w:rFonts w:ascii="Lucida Sans" w:hAnsi="Lucida Sans"/>
        </w:rPr>
      </w:pPr>
      <w:r>
        <w:rPr>
          <w:noProof/>
        </w:rPr>
        <w:drawing>
          <wp:inline distT="0" distB="0" distL="0" distR="0" wp14:anchorId="1C1296E7" wp14:editId="1033CC7A">
            <wp:extent cx="4039535" cy="2428875"/>
            <wp:effectExtent l="0" t="0" r="0" b="0"/>
            <wp:docPr id="14" name="Graphique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D62094" w:rsidRDefault="00D62094" w:rsidP="00D62094">
      <w:pPr>
        <w:rPr>
          <w:rFonts w:ascii="Lucida Sans" w:hAnsi="Lucida Sans"/>
        </w:rPr>
      </w:pPr>
    </w:p>
    <w:p w:rsidR="00D62094" w:rsidRDefault="00D62094" w:rsidP="00D62094">
      <w:pPr>
        <w:rPr>
          <w:rFonts w:ascii="Lucida Sans" w:hAnsi="Lucida Sans"/>
        </w:rPr>
      </w:pPr>
    </w:p>
    <w:p w:rsidR="00D62094" w:rsidRPr="00D62094" w:rsidRDefault="00D62094" w:rsidP="00D62094">
      <w:pPr>
        <w:pStyle w:val="Sansinterligne"/>
        <w:rPr>
          <w:i/>
        </w:rPr>
      </w:pPr>
      <w:r w:rsidRPr="00D62094">
        <w:rPr>
          <w:i/>
        </w:rPr>
        <w:t xml:space="preserve">Le lieu de travail correspond le plus souvent au lieu de consommation de certains équipements et services, d’autant plus si la personne réside dans la commune. Restauration, commerces et services sont fréquentés par ces personnes actives. </w:t>
      </w:r>
    </w:p>
    <w:p w:rsidR="00D62094" w:rsidRPr="00D62094" w:rsidRDefault="00D62094" w:rsidP="00D62094">
      <w:pPr>
        <w:pStyle w:val="Sansinterligne"/>
        <w:rPr>
          <w:i/>
        </w:rPr>
      </w:pPr>
    </w:p>
    <w:p w:rsidR="00D62094" w:rsidRPr="00D62094" w:rsidRDefault="00D62094" w:rsidP="00D62094">
      <w:pPr>
        <w:pStyle w:val="Sansinterligne"/>
        <w:rPr>
          <w:i/>
        </w:rPr>
      </w:pPr>
      <w:r w:rsidRPr="00D62094">
        <w:rPr>
          <w:i/>
        </w:rPr>
        <w:t>Par rapport au nombre de personnes travaillant dans la commune, Giromagny est celle qui offre le plus d’équipements et de services devant les communes parmi les plus peuplées de l’Aire Urbaine. Ce chiffre s’explique par le faible nombre d’emplois au lieu de travail</w:t>
      </w:r>
      <w:r w:rsidRPr="00D62094">
        <w:rPr>
          <w:rStyle w:val="Appelnotedebasdep"/>
          <w:rFonts w:ascii="Lucida Sans" w:hAnsi="Lucida Sans"/>
          <w:i/>
        </w:rPr>
        <w:footnoteReference w:id="5"/>
      </w:r>
      <w:r w:rsidRPr="00D62094">
        <w:rPr>
          <w:i/>
        </w:rPr>
        <w:t xml:space="preserve"> de la </w:t>
      </w:r>
      <w:r w:rsidRPr="00D62094">
        <w:rPr>
          <w:i/>
        </w:rPr>
        <w:lastRenderedPageBreak/>
        <w:t xml:space="preserve">commune par rapport aux autres, qui ont en moyenne un nombre d’emplois deux à trois fois plus élevé. </w:t>
      </w:r>
    </w:p>
    <w:p w:rsidR="00D62094" w:rsidRPr="00D62094" w:rsidRDefault="00D62094" w:rsidP="00D62094">
      <w:pPr>
        <w:pStyle w:val="Sansinterligne"/>
        <w:rPr>
          <w:i/>
        </w:rPr>
      </w:pPr>
    </w:p>
    <w:p w:rsidR="00E01AC7" w:rsidRDefault="00D62094" w:rsidP="00E01AC7">
      <w:pPr>
        <w:pStyle w:val="Sansinterligne"/>
        <w:rPr>
          <w:sz w:val="28"/>
          <w:szCs w:val="28"/>
        </w:rPr>
      </w:pPr>
      <w:r w:rsidRPr="00D62094">
        <w:rPr>
          <w:i/>
        </w:rPr>
        <w:t xml:space="preserve">La CCHS a également la particularité de constituer un bassin de vie à part entière, dont Giromagny est le centre. Seule la commune de </w:t>
      </w:r>
      <w:proofErr w:type="spellStart"/>
      <w:r w:rsidRPr="00D62094">
        <w:rPr>
          <w:i/>
        </w:rPr>
        <w:t>Rieverscemont</w:t>
      </w:r>
      <w:proofErr w:type="spellEnd"/>
      <w:r w:rsidRPr="00D62094">
        <w:rPr>
          <w:i/>
        </w:rPr>
        <w:t xml:space="preserve"> est également attachée à ce bassin de vie. Le bassin de vie correspond à une unité géographique. Il représente la fréquentation des équipements et des services de proximité et intermédiaire. La position géographique et l’accessibilité de Giromagny forme la centralité de celui-ci. Giromagny est accessible en moins de 10min de voiture pour toutes les communes de la CCHS.</w:t>
      </w:r>
      <w:bookmarkStart w:id="4" w:name="_Toc425949947"/>
    </w:p>
    <w:p w:rsidR="00E01AC7" w:rsidRDefault="00E01AC7" w:rsidP="00E01AC7">
      <w:pPr>
        <w:pStyle w:val="Sansinterligne"/>
        <w:rPr>
          <w:sz w:val="28"/>
          <w:szCs w:val="28"/>
        </w:rPr>
      </w:pPr>
    </w:p>
    <w:p w:rsidR="00651807" w:rsidRPr="00E01AC7" w:rsidRDefault="00651807" w:rsidP="00E01AC7">
      <w:pPr>
        <w:pStyle w:val="Titre1"/>
        <w:rPr>
          <w:spacing w:val="5"/>
          <w:kern w:val="28"/>
        </w:rPr>
      </w:pPr>
      <w:r w:rsidRPr="002C028C">
        <w:t>Limites de l’exercice</w:t>
      </w:r>
      <w:bookmarkEnd w:id="4"/>
    </w:p>
    <w:p w:rsidR="007460D4" w:rsidRDefault="007460D4" w:rsidP="00D62094">
      <w:pPr>
        <w:pStyle w:val="Sansinterligne"/>
        <w:spacing w:before="240"/>
      </w:pPr>
      <w:r>
        <w:t xml:space="preserve">Les résultats sont à nuancer car ils ne reflètent pas toujours la réalité. Cette méthode ne tient pas compte de la situation géographique des communes même si elles ont des caractéristiques sociodémographiques similaires. </w:t>
      </w:r>
    </w:p>
    <w:p w:rsidR="00931A11" w:rsidRDefault="00931A11" w:rsidP="00D62094">
      <w:pPr>
        <w:pStyle w:val="Sansinterligne"/>
        <w:spacing w:before="240"/>
      </w:pPr>
      <w:r>
        <w:t xml:space="preserve">La situation géographique influence énormément le niveau d’équipement d’une commune. Les logiques d’implantations des équipements diffèrent selon qu’ils soient du domaine public ou privé, selon leur domaine et leur rayonnement. Par exemple, les services publics doivent pouvoir desservir l’ensemble de la population, c’est pourquoi on peut retrouver ce type d’équipement et de service dans des communes rurales. La plupart des équipements privés tels que les commerces, cherchent la proximité du client et d’un nombre suffisant pour se créer un bénéfice. </w:t>
      </w:r>
    </w:p>
    <w:p w:rsidR="00931A11" w:rsidRDefault="00931A11" w:rsidP="00D62094">
      <w:pPr>
        <w:pStyle w:val="Sansinterligne"/>
        <w:spacing w:before="240"/>
      </w:pPr>
      <w:r>
        <w:t>De plus, le niveau d’équipe</w:t>
      </w:r>
      <w:bookmarkStart w:id="5" w:name="_GoBack"/>
      <w:bookmarkEnd w:id="5"/>
      <w:r>
        <w:t xml:space="preserve">ment va varier d’une commune à l’autre suivant la répartition des équipements aux alentours de celle-ci : une commune en zone rurale très peu équipée ou une commune en périphérie d’un pôle urbain très équipé. </w:t>
      </w:r>
    </w:p>
    <w:p w:rsidR="00931A11" w:rsidRDefault="00931A11" w:rsidP="00D62094">
      <w:pPr>
        <w:pStyle w:val="Sansinterligne"/>
        <w:spacing w:before="240"/>
      </w:pPr>
      <w:r>
        <w:t xml:space="preserve">C’est pourquoi la connaissance et la pratique du terrain est essentielle pour l’analyse du niveau d’équipement et de service. </w:t>
      </w:r>
    </w:p>
    <w:p w:rsidR="007460D4" w:rsidRDefault="007460D4" w:rsidP="00D62094">
      <w:pPr>
        <w:pStyle w:val="Sansinterligne"/>
        <w:spacing w:before="240"/>
      </w:pPr>
    </w:p>
    <w:p w:rsidR="00651807" w:rsidRDefault="00651807"/>
    <w:sectPr w:rsidR="00651807" w:rsidSect="00FF0413">
      <w:headerReference w:type="default" r:id="rId16"/>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C12" w:rsidRDefault="00367C12" w:rsidP="00367C12">
      <w:pPr>
        <w:spacing w:before="0" w:line="240" w:lineRule="auto"/>
      </w:pPr>
      <w:r>
        <w:separator/>
      </w:r>
    </w:p>
  </w:endnote>
  <w:endnote w:type="continuationSeparator" w:id="0">
    <w:p w:rsidR="00367C12" w:rsidRDefault="00367C12" w:rsidP="00367C1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A1002AEF" w:usb1="8000787B" w:usb2="00000008" w:usb3="00000000" w:csb0="000100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1629811"/>
      <w:docPartObj>
        <w:docPartGallery w:val="Page Numbers (Bottom of Page)"/>
        <w:docPartUnique/>
      </w:docPartObj>
    </w:sdtPr>
    <w:sdtContent>
      <w:p w:rsidR="002C028C" w:rsidRDefault="002C028C">
        <w:pPr>
          <w:pStyle w:val="Pieddepage"/>
          <w:jc w:val="right"/>
        </w:pPr>
        <w:r>
          <w:t xml:space="preserve">Page | </w:t>
        </w:r>
        <w:r>
          <w:fldChar w:fldCharType="begin"/>
        </w:r>
        <w:r>
          <w:instrText>PAGE   \* MERGEFORMAT</w:instrText>
        </w:r>
        <w:r>
          <w:fldChar w:fldCharType="separate"/>
        </w:r>
        <w:r w:rsidR="00BA7E52">
          <w:rPr>
            <w:noProof/>
          </w:rPr>
          <w:t>1</w:t>
        </w:r>
        <w:r>
          <w:fldChar w:fldCharType="end"/>
        </w:r>
        <w:r>
          <w:t xml:space="preserve"> </w:t>
        </w:r>
      </w:p>
    </w:sdtContent>
  </w:sdt>
  <w:p w:rsidR="002C028C" w:rsidRDefault="002C028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C12" w:rsidRDefault="00367C12" w:rsidP="00367C12">
      <w:pPr>
        <w:spacing w:before="0" w:line="240" w:lineRule="auto"/>
      </w:pPr>
      <w:r>
        <w:separator/>
      </w:r>
    </w:p>
  </w:footnote>
  <w:footnote w:type="continuationSeparator" w:id="0">
    <w:p w:rsidR="00367C12" w:rsidRDefault="00367C12" w:rsidP="00367C12">
      <w:pPr>
        <w:spacing w:before="0" w:line="240" w:lineRule="auto"/>
      </w:pPr>
      <w:r>
        <w:continuationSeparator/>
      </w:r>
    </w:p>
  </w:footnote>
  <w:footnote w:id="1">
    <w:p w:rsidR="00367C12" w:rsidRDefault="00367C12">
      <w:pPr>
        <w:pStyle w:val="Notedebasdepage"/>
      </w:pPr>
      <w:r>
        <w:rPr>
          <w:rStyle w:val="Appelnotedebasdep"/>
        </w:rPr>
        <w:footnoteRef/>
      </w:r>
      <w:r>
        <w:t xml:space="preserve"> La comparaison du niveau d’équipement des pôles structurants </w:t>
      </w:r>
      <w:proofErr w:type="spellStart"/>
      <w:r>
        <w:t>à</w:t>
      </w:r>
      <w:proofErr w:type="spellEnd"/>
      <w:r>
        <w:t xml:space="preserve"> déjà été faite dans le cadre du </w:t>
      </w:r>
      <w:proofErr w:type="spellStart"/>
      <w:r>
        <w:t>PLUi</w:t>
      </w:r>
      <w:proofErr w:type="spellEnd"/>
      <w:r>
        <w:t xml:space="preserve"> de la Haute Savoureuse. Le tableur est disponible dans le dossier « Ressources » du </w:t>
      </w:r>
      <w:proofErr w:type="spellStart"/>
      <w:r>
        <w:t>PLUi</w:t>
      </w:r>
      <w:proofErr w:type="spellEnd"/>
      <w:r>
        <w:t>.</w:t>
      </w:r>
    </w:p>
  </w:footnote>
  <w:footnote w:id="2">
    <w:p w:rsidR="009F6334" w:rsidRDefault="009F6334">
      <w:pPr>
        <w:pStyle w:val="Notedebasdepage"/>
      </w:pPr>
      <w:r>
        <w:rPr>
          <w:rStyle w:val="Appelnotedebasdep"/>
        </w:rPr>
        <w:footnoteRef/>
      </w:r>
      <w:r>
        <w:t xml:space="preserve"> TD est habileté à fournir l’ensemble de ces données dans un tableur Excel. </w:t>
      </w:r>
    </w:p>
  </w:footnote>
  <w:footnote w:id="3">
    <w:p w:rsidR="009F6334" w:rsidRDefault="009F6334">
      <w:pPr>
        <w:pStyle w:val="Notedebasdepage"/>
      </w:pPr>
      <w:r>
        <w:rPr>
          <w:rStyle w:val="Appelnotedebasdep"/>
        </w:rPr>
        <w:footnoteRef/>
      </w:r>
      <w:r>
        <w:t xml:space="preserve"> Certaines communes ont été ajoutées ou enlevées de l’échantillon par décision empirique d’après la connaissance du terrain. </w:t>
      </w:r>
    </w:p>
  </w:footnote>
  <w:footnote w:id="4">
    <w:p w:rsidR="000E1081" w:rsidRDefault="000E1081" w:rsidP="000E1081">
      <w:pPr>
        <w:pStyle w:val="Notedebasdepage"/>
      </w:pPr>
      <w:r>
        <w:rPr>
          <w:rStyle w:val="Appelnotedebasdep"/>
        </w:rPr>
        <w:footnoteRef/>
      </w:r>
      <w:r>
        <w:t xml:space="preserve"> </w:t>
      </w:r>
      <w:r w:rsidRPr="00294469">
        <w:rPr>
          <w:rFonts w:ascii="Tahoma" w:hAnsi="Tahoma" w:cs="Tahoma"/>
        </w:rPr>
        <w:t>Pourcentage du nombre d’équipements de la gamme présent sur la commune par rapport au nombre d’équipement total de la gamme (29 équipements pour la gamme de proximité, 32 équipements pour la gamme intermédiaire et 41 équipements pour la gamme supérieure)</w:t>
      </w:r>
    </w:p>
  </w:footnote>
  <w:footnote w:id="5">
    <w:p w:rsidR="00D62094" w:rsidRPr="00563FF7" w:rsidRDefault="00D62094" w:rsidP="00D62094">
      <w:pPr>
        <w:rPr>
          <w:rFonts w:ascii="Lucida Sans" w:hAnsi="Lucida Sans"/>
          <w:i/>
        </w:rPr>
      </w:pPr>
      <w:r w:rsidRPr="00563FF7">
        <w:rPr>
          <w:rStyle w:val="Appelnotedebasdep"/>
          <w:rFonts w:ascii="Lucida Sans" w:hAnsi="Lucida Sans"/>
        </w:rPr>
        <w:footnoteRef/>
      </w:r>
      <w:r w:rsidRPr="00563FF7">
        <w:rPr>
          <w:rFonts w:ascii="Lucida Sans" w:hAnsi="Lucida Sans"/>
        </w:rPr>
        <w:t xml:space="preserve"> L’emploi au lieu de travail comprend l’ensemble des personnes qui ont une profession et qui l’exercent sur le territoire français au moment du recensement. Cet emploi est comptabilisé dans la commune du lieu de travail. (Définition de l’INSEE)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28C" w:rsidRDefault="002C028C" w:rsidP="002C028C">
    <w:pPr>
      <w:pStyle w:val="En-tte"/>
      <w:jc w:val="right"/>
    </w:pPr>
    <w:r>
      <w:t xml:space="preserve">Fiche méthode - Comparaison des pôles de services </w:t>
    </w:r>
  </w:p>
  <w:p w:rsidR="002C028C" w:rsidRDefault="002C028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075CA"/>
    <w:multiLevelType w:val="hybridMultilevel"/>
    <w:tmpl w:val="8326AB38"/>
    <w:lvl w:ilvl="0" w:tplc="5EE0449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9410B35"/>
    <w:multiLevelType w:val="hybridMultilevel"/>
    <w:tmpl w:val="509613F0"/>
    <w:lvl w:ilvl="0" w:tplc="2A3A729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A6E35D0"/>
    <w:multiLevelType w:val="hybridMultilevel"/>
    <w:tmpl w:val="79A4039A"/>
    <w:lvl w:ilvl="0" w:tplc="C5A03E40">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7C937727"/>
    <w:multiLevelType w:val="hybridMultilevel"/>
    <w:tmpl w:val="7F9876F0"/>
    <w:lvl w:ilvl="0" w:tplc="040C0001">
      <w:start w:val="1"/>
      <w:numFmt w:val="bullet"/>
      <w:lvlText w:val=""/>
      <w:lvlJc w:val="left"/>
      <w:pPr>
        <w:ind w:left="928" w:hanging="360"/>
      </w:pPr>
      <w:rPr>
        <w:rFonts w:ascii="Symbol" w:hAnsi="Symbol" w:hint="default"/>
      </w:rPr>
    </w:lvl>
    <w:lvl w:ilvl="1" w:tplc="040C0001">
      <w:start w:val="1"/>
      <w:numFmt w:val="bullet"/>
      <w:lvlText w:val=""/>
      <w:lvlJc w:val="left"/>
      <w:pPr>
        <w:ind w:left="1648" w:hanging="360"/>
      </w:pPr>
      <w:rPr>
        <w:rFonts w:ascii="Symbol" w:hAnsi="Symbol"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95D"/>
    <w:rsid w:val="00011FDC"/>
    <w:rsid w:val="000501E9"/>
    <w:rsid w:val="000E1081"/>
    <w:rsid w:val="00127D23"/>
    <w:rsid w:val="00150234"/>
    <w:rsid w:val="00235482"/>
    <w:rsid w:val="0029334C"/>
    <w:rsid w:val="002C028C"/>
    <w:rsid w:val="00312FF7"/>
    <w:rsid w:val="00367C12"/>
    <w:rsid w:val="003823B3"/>
    <w:rsid w:val="003B4DA2"/>
    <w:rsid w:val="004D51F2"/>
    <w:rsid w:val="004E0694"/>
    <w:rsid w:val="00651807"/>
    <w:rsid w:val="00693658"/>
    <w:rsid w:val="006A4370"/>
    <w:rsid w:val="007460D4"/>
    <w:rsid w:val="008012AB"/>
    <w:rsid w:val="008E78F3"/>
    <w:rsid w:val="00931A11"/>
    <w:rsid w:val="009F6334"/>
    <w:rsid w:val="00B748A1"/>
    <w:rsid w:val="00BA7E52"/>
    <w:rsid w:val="00C141AF"/>
    <w:rsid w:val="00C80408"/>
    <w:rsid w:val="00D12AE0"/>
    <w:rsid w:val="00D62094"/>
    <w:rsid w:val="00E01AC7"/>
    <w:rsid w:val="00E710C2"/>
    <w:rsid w:val="00EC5F83"/>
    <w:rsid w:val="00F76930"/>
    <w:rsid w:val="00FB395D"/>
    <w:rsid w:val="00FF04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fr-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lsdException w:name="heading 3" w:uiPriority="9"/>
    <w:lsdException w:name="heading 4" w:uiPriority="9"/>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35482"/>
    <w:pPr>
      <w:spacing w:before="120"/>
      <w:jc w:val="both"/>
    </w:pPr>
  </w:style>
  <w:style w:type="paragraph" w:styleId="Titre1">
    <w:name w:val="heading 1"/>
    <w:basedOn w:val="Normal"/>
    <w:next w:val="Normal"/>
    <w:link w:val="Titre1Car"/>
    <w:uiPriority w:val="9"/>
    <w:qFormat/>
    <w:rsid w:val="002C028C"/>
    <w:pPr>
      <w:keepNext/>
      <w:keepLines/>
      <w:pBdr>
        <w:bottom w:val="single" w:sz="4" w:space="1" w:color="548DD4" w:themeColor="text2" w:themeTint="99"/>
      </w:pBdr>
      <w:outlineLvl w:val="0"/>
    </w:pPr>
    <w:rPr>
      <w:rFonts w:asciiTheme="majorHAnsi" w:eastAsiaTheme="majorEastAsia" w:hAnsiTheme="majorHAnsi" w:cstheme="majorBidi"/>
      <w:bCs/>
      <w:color w:val="17365D" w:themeColor="text2"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235482"/>
  </w:style>
  <w:style w:type="paragraph" w:styleId="Sansinterligne">
    <w:name w:val="No Spacing"/>
    <w:link w:val="SansinterligneCar"/>
    <w:uiPriority w:val="1"/>
    <w:qFormat/>
    <w:rsid w:val="000E1081"/>
    <w:pPr>
      <w:spacing w:before="120" w:line="240" w:lineRule="auto"/>
      <w:jc w:val="both"/>
    </w:pPr>
    <w:rPr>
      <w:rFonts w:eastAsiaTheme="minorEastAsia" w:cstheme="minorBidi"/>
      <w:color w:val="auto"/>
    </w:rPr>
  </w:style>
  <w:style w:type="character" w:customStyle="1" w:styleId="SansinterligneCar">
    <w:name w:val="Sans interligne Car"/>
    <w:basedOn w:val="Policepardfaut"/>
    <w:link w:val="Sansinterligne"/>
    <w:uiPriority w:val="1"/>
    <w:rsid w:val="000E1081"/>
    <w:rPr>
      <w:rFonts w:eastAsiaTheme="minorEastAsia" w:cstheme="minorBidi"/>
      <w:color w:val="auto"/>
    </w:rPr>
  </w:style>
  <w:style w:type="paragraph" w:styleId="Textedebulles">
    <w:name w:val="Balloon Text"/>
    <w:basedOn w:val="Normal"/>
    <w:link w:val="TextedebullesCar"/>
    <w:uiPriority w:val="99"/>
    <w:semiHidden/>
    <w:unhideWhenUsed/>
    <w:rsid w:val="00FF0413"/>
    <w:pPr>
      <w:spacing w:before="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0413"/>
    <w:rPr>
      <w:rFonts w:ascii="Tahoma" w:hAnsi="Tahoma" w:cs="Tahoma"/>
      <w:sz w:val="16"/>
      <w:szCs w:val="16"/>
    </w:rPr>
  </w:style>
  <w:style w:type="paragraph" w:styleId="Titre">
    <w:name w:val="Title"/>
    <w:basedOn w:val="Normal"/>
    <w:next w:val="Normal"/>
    <w:link w:val="TitreCar"/>
    <w:uiPriority w:val="10"/>
    <w:qFormat/>
    <w:rsid w:val="00FF0413"/>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F0413"/>
    <w:rPr>
      <w:rFonts w:asciiTheme="majorHAnsi" w:eastAsiaTheme="majorEastAsia" w:hAnsiTheme="majorHAnsi" w:cstheme="majorBidi"/>
      <w:color w:val="17365D" w:themeColor="text2" w:themeShade="BF"/>
      <w:spacing w:val="5"/>
      <w:kern w:val="28"/>
      <w:sz w:val="52"/>
      <w:szCs w:val="52"/>
    </w:rPr>
  </w:style>
  <w:style w:type="paragraph" w:styleId="Paragraphedeliste">
    <w:name w:val="List Paragraph"/>
    <w:basedOn w:val="Normal"/>
    <w:link w:val="ParagraphedelisteCar"/>
    <w:uiPriority w:val="34"/>
    <w:qFormat/>
    <w:rsid w:val="0029334C"/>
    <w:pPr>
      <w:ind w:left="720"/>
      <w:contextualSpacing/>
    </w:pPr>
  </w:style>
  <w:style w:type="character" w:customStyle="1" w:styleId="Titre1Car">
    <w:name w:val="Titre 1 Car"/>
    <w:basedOn w:val="Policepardfaut"/>
    <w:link w:val="Titre1"/>
    <w:uiPriority w:val="9"/>
    <w:rsid w:val="002C028C"/>
    <w:rPr>
      <w:rFonts w:asciiTheme="majorHAnsi" w:eastAsiaTheme="majorEastAsia" w:hAnsiTheme="majorHAnsi" w:cstheme="majorBidi"/>
      <w:bCs/>
      <w:color w:val="17365D" w:themeColor="text2" w:themeShade="BF"/>
      <w:sz w:val="28"/>
      <w:szCs w:val="28"/>
    </w:rPr>
  </w:style>
  <w:style w:type="paragraph" w:styleId="Notedebasdepage">
    <w:name w:val="footnote text"/>
    <w:basedOn w:val="Normal"/>
    <w:link w:val="NotedebasdepageCar"/>
    <w:uiPriority w:val="99"/>
    <w:semiHidden/>
    <w:unhideWhenUsed/>
    <w:rsid w:val="00367C12"/>
    <w:pPr>
      <w:spacing w:before="0" w:line="240" w:lineRule="auto"/>
    </w:pPr>
    <w:rPr>
      <w:sz w:val="20"/>
      <w:szCs w:val="20"/>
    </w:rPr>
  </w:style>
  <w:style w:type="character" w:customStyle="1" w:styleId="NotedebasdepageCar">
    <w:name w:val="Note de bas de page Car"/>
    <w:basedOn w:val="Policepardfaut"/>
    <w:link w:val="Notedebasdepage"/>
    <w:uiPriority w:val="99"/>
    <w:semiHidden/>
    <w:rsid w:val="00367C12"/>
    <w:rPr>
      <w:sz w:val="20"/>
      <w:szCs w:val="20"/>
    </w:rPr>
  </w:style>
  <w:style w:type="character" w:styleId="Appelnotedebasdep">
    <w:name w:val="footnote reference"/>
    <w:basedOn w:val="Policepardfaut"/>
    <w:uiPriority w:val="99"/>
    <w:unhideWhenUsed/>
    <w:rsid w:val="00367C12"/>
    <w:rPr>
      <w:vertAlign w:val="superscript"/>
    </w:rPr>
  </w:style>
  <w:style w:type="paragraph" w:styleId="En-tte">
    <w:name w:val="header"/>
    <w:basedOn w:val="Normal"/>
    <w:link w:val="En-tteCar"/>
    <w:uiPriority w:val="99"/>
    <w:unhideWhenUsed/>
    <w:rsid w:val="002C028C"/>
    <w:pPr>
      <w:tabs>
        <w:tab w:val="center" w:pos="4536"/>
        <w:tab w:val="right" w:pos="9072"/>
      </w:tabs>
      <w:spacing w:before="0" w:line="240" w:lineRule="auto"/>
    </w:pPr>
  </w:style>
  <w:style w:type="character" w:customStyle="1" w:styleId="En-tteCar">
    <w:name w:val="En-tête Car"/>
    <w:basedOn w:val="Policepardfaut"/>
    <w:link w:val="En-tte"/>
    <w:uiPriority w:val="99"/>
    <w:rsid w:val="002C028C"/>
  </w:style>
  <w:style w:type="paragraph" w:styleId="Pieddepage">
    <w:name w:val="footer"/>
    <w:basedOn w:val="Normal"/>
    <w:link w:val="PieddepageCar"/>
    <w:uiPriority w:val="99"/>
    <w:unhideWhenUsed/>
    <w:rsid w:val="002C028C"/>
    <w:pPr>
      <w:tabs>
        <w:tab w:val="center" w:pos="4536"/>
        <w:tab w:val="right" w:pos="9072"/>
      </w:tabs>
      <w:spacing w:before="0" w:line="240" w:lineRule="auto"/>
    </w:pPr>
  </w:style>
  <w:style w:type="character" w:customStyle="1" w:styleId="PieddepageCar">
    <w:name w:val="Pied de page Car"/>
    <w:basedOn w:val="Policepardfaut"/>
    <w:link w:val="Pieddepage"/>
    <w:uiPriority w:val="99"/>
    <w:rsid w:val="002C028C"/>
  </w:style>
  <w:style w:type="paragraph" w:styleId="TM1">
    <w:name w:val="toc 1"/>
    <w:basedOn w:val="Normal"/>
    <w:next w:val="Normal"/>
    <w:autoRedefine/>
    <w:uiPriority w:val="39"/>
    <w:unhideWhenUsed/>
    <w:rsid w:val="002C028C"/>
    <w:pPr>
      <w:spacing w:before="360" w:after="360"/>
      <w:jc w:val="left"/>
    </w:pPr>
    <w:rPr>
      <w:rFonts w:asciiTheme="minorHAnsi" w:hAnsiTheme="minorHAnsi"/>
      <w:b/>
      <w:bCs/>
      <w:caps/>
      <w:u w:val="single"/>
    </w:rPr>
  </w:style>
  <w:style w:type="paragraph" w:styleId="TM2">
    <w:name w:val="toc 2"/>
    <w:basedOn w:val="Normal"/>
    <w:next w:val="Normal"/>
    <w:autoRedefine/>
    <w:uiPriority w:val="39"/>
    <w:unhideWhenUsed/>
    <w:rsid w:val="002C028C"/>
    <w:pPr>
      <w:spacing w:before="0"/>
      <w:jc w:val="left"/>
    </w:pPr>
    <w:rPr>
      <w:rFonts w:asciiTheme="minorHAnsi" w:hAnsiTheme="minorHAnsi"/>
      <w:b/>
      <w:bCs/>
      <w:smallCaps/>
    </w:rPr>
  </w:style>
  <w:style w:type="paragraph" w:styleId="TM3">
    <w:name w:val="toc 3"/>
    <w:basedOn w:val="Normal"/>
    <w:next w:val="Normal"/>
    <w:autoRedefine/>
    <w:uiPriority w:val="39"/>
    <w:unhideWhenUsed/>
    <w:rsid w:val="002C028C"/>
    <w:pPr>
      <w:spacing w:before="0"/>
      <w:jc w:val="left"/>
    </w:pPr>
    <w:rPr>
      <w:rFonts w:asciiTheme="minorHAnsi" w:hAnsiTheme="minorHAnsi"/>
      <w:smallCaps/>
    </w:rPr>
  </w:style>
  <w:style w:type="paragraph" w:styleId="TM4">
    <w:name w:val="toc 4"/>
    <w:basedOn w:val="Normal"/>
    <w:next w:val="Normal"/>
    <w:autoRedefine/>
    <w:uiPriority w:val="39"/>
    <w:unhideWhenUsed/>
    <w:rsid w:val="002C028C"/>
    <w:pPr>
      <w:spacing w:before="0"/>
      <w:jc w:val="left"/>
    </w:pPr>
    <w:rPr>
      <w:rFonts w:asciiTheme="minorHAnsi" w:hAnsiTheme="minorHAnsi"/>
    </w:rPr>
  </w:style>
  <w:style w:type="paragraph" w:styleId="TM5">
    <w:name w:val="toc 5"/>
    <w:basedOn w:val="Normal"/>
    <w:next w:val="Normal"/>
    <w:autoRedefine/>
    <w:uiPriority w:val="39"/>
    <w:unhideWhenUsed/>
    <w:rsid w:val="002C028C"/>
    <w:pPr>
      <w:spacing w:before="0"/>
      <w:jc w:val="left"/>
    </w:pPr>
    <w:rPr>
      <w:rFonts w:asciiTheme="minorHAnsi" w:hAnsiTheme="minorHAnsi"/>
    </w:rPr>
  </w:style>
  <w:style w:type="paragraph" w:styleId="TM6">
    <w:name w:val="toc 6"/>
    <w:basedOn w:val="Normal"/>
    <w:next w:val="Normal"/>
    <w:autoRedefine/>
    <w:uiPriority w:val="39"/>
    <w:unhideWhenUsed/>
    <w:rsid w:val="002C028C"/>
    <w:pPr>
      <w:spacing w:before="0"/>
      <w:jc w:val="left"/>
    </w:pPr>
    <w:rPr>
      <w:rFonts w:asciiTheme="minorHAnsi" w:hAnsiTheme="minorHAnsi"/>
    </w:rPr>
  </w:style>
  <w:style w:type="paragraph" w:styleId="TM7">
    <w:name w:val="toc 7"/>
    <w:basedOn w:val="Normal"/>
    <w:next w:val="Normal"/>
    <w:autoRedefine/>
    <w:uiPriority w:val="39"/>
    <w:unhideWhenUsed/>
    <w:rsid w:val="002C028C"/>
    <w:pPr>
      <w:spacing w:before="0"/>
      <w:jc w:val="left"/>
    </w:pPr>
    <w:rPr>
      <w:rFonts w:asciiTheme="minorHAnsi" w:hAnsiTheme="minorHAnsi"/>
    </w:rPr>
  </w:style>
  <w:style w:type="paragraph" w:styleId="TM8">
    <w:name w:val="toc 8"/>
    <w:basedOn w:val="Normal"/>
    <w:next w:val="Normal"/>
    <w:autoRedefine/>
    <w:uiPriority w:val="39"/>
    <w:unhideWhenUsed/>
    <w:rsid w:val="002C028C"/>
    <w:pPr>
      <w:spacing w:before="0"/>
      <w:jc w:val="left"/>
    </w:pPr>
    <w:rPr>
      <w:rFonts w:asciiTheme="minorHAnsi" w:hAnsiTheme="minorHAnsi"/>
    </w:rPr>
  </w:style>
  <w:style w:type="paragraph" w:styleId="TM9">
    <w:name w:val="toc 9"/>
    <w:basedOn w:val="Normal"/>
    <w:next w:val="Normal"/>
    <w:autoRedefine/>
    <w:uiPriority w:val="39"/>
    <w:unhideWhenUsed/>
    <w:rsid w:val="002C028C"/>
    <w:pPr>
      <w:spacing w:before="0"/>
      <w:jc w:val="left"/>
    </w:pPr>
    <w:rPr>
      <w:rFonts w:asciiTheme="minorHAnsi" w:hAnsiTheme="minorHAnsi"/>
    </w:rPr>
  </w:style>
  <w:style w:type="character" w:styleId="Lienhypertexte">
    <w:name w:val="Hyperlink"/>
    <w:basedOn w:val="Policepardfaut"/>
    <w:uiPriority w:val="99"/>
    <w:unhideWhenUsed/>
    <w:rsid w:val="002C028C"/>
    <w:rPr>
      <w:color w:val="0000FF" w:themeColor="hyperlink"/>
      <w:u w:val="single"/>
    </w:rPr>
  </w:style>
  <w:style w:type="table" w:styleId="Grillemoyenne2-Accent5">
    <w:name w:val="Medium Grid 2 Accent 5"/>
    <w:basedOn w:val="TableauNormal"/>
    <w:uiPriority w:val="68"/>
    <w:rsid w:val="000E1081"/>
    <w:pPr>
      <w:spacing w:line="240" w:lineRule="auto"/>
    </w:pPr>
    <w:rPr>
      <w:rFonts w:asciiTheme="majorHAnsi" w:eastAsiaTheme="majorEastAsia" w:hAnsiTheme="majorHAnsi" w:cstheme="majorBidi"/>
      <w:color w:val="000000" w:themeColor="text1"/>
      <w:lang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character" w:customStyle="1" w:styleId="ParagraphedelisteCar">
    <w:name w:val="Paragraphe de liste Car"/>
    <w:basedOn w:val="Policepardfaut"/>
    <w:link w:val="Paragraphedeliste"/>
    <w:uiPriority w:val="34"/>
    <w:rsid w:val="00D62094"/>
  </w:style>
  <w:style w:type="table" w:styleId="Grillemoyenne3-Accent5">
    <w:name w:val="Medium Grid 3 Accent 5"/>
    <w:basedOn w:val="TableauNormal"/>
    <w:uiPriority w:val="69"/>
    <w:rsid w:val="00D62094"/>
    <w:pPr>
      <w:spacing w:line="240" w:lineRule="auto"/>
    </w:pPr>
    <w:rPr>
      <w:rFonts w:asciiTheme="minorHAnsi" w:eastAsia="SimSun" w:hAnsiTheme="minorHAnsi" w:cstheme="minorBidi"/>
      <w:color w:val="auto"/>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fr-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lsdException w:name="heading 3" w:uiPriority="9"/>
    <w:lsdException w:name="heading 4" w:uiPriority="9"/>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35482"/>
    <w:pPr>
      <w:spacing w:before="120"/>
      <w:jc w:val="both"/>
    </w:pPr>
  </w:style>
  <w:style w:type="paragraph" w:styleId="Titre1">
    <w:name w:val="heading 1"/>
    <w:basedOn w:val="Normal"/>
    <w:next w:val="Normal"/>
    <w:link w:val="Titre1Car"/>
    <w:uiPriority w:val="9"/>
    <w:qFormat/>
    <w:rsid w:val="002C028C"/>
    <w:pPr>
      <w:keepNext/>
      <w:keepLines/>
      <w:pBdr>
        <w:bottom w:val="single" w:sz="4" w:space="1" w:color="548DD4" w:themeColor="text2" w:themeTint="99"/>
      </w:pBdr>
      <w:outlineLvl w:val="0"/>
    </w:pPr>
    <w:rPr>
      <w:rFonts w:asciiTheme="majorHAnsi" w:eastAsiaTheme="majorEastAsia" w:hAnsiTheme="majorHAnsi" w:cstheme="majorBidi"/>
      <w:bCs/>
      <w:color w:val="17365D" w:themeColor="text2"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235482"/>
  </w:style>
  <w:style w:type="paragraph" w:styleId="Sansinterligne">
    <w:name w:val="No Spacing"/>
    <w:link w:val="SansinterligneCar"/>
    <w:uiPriority w:val="1"/>
    <w:qFormat/>
    <w:rsid w:val="000E1081"/>
    <w:pPr>
      <w:spacing w:before="120" w:line="240" w:lineRule="auto"/>
      <w:jc w:val="both"/>
    </w:pPr>
    <w:rPr>
      <w:rFonts w:eastAsiaTheme="minorEastAsia" w:cstheme="minorBidi"/>
      <w:color w:val="auto"/>
    </w:rPr>
  </w:style>
  <w:style w:type="character" w:customStyle="1" w:styleId="SansinterligneCar">
    <w:name w:val="Sans interligne Car"/>
    <w:basedOn w:val="Policepardfaut"/>
    <w:link w:val="Sansinterligne"/>
    <w:uiPriority w:val="1"/>
    <w:rsid w:val="000E1081"/>
    <w:rPr>
      <w:rFonts w:eastAsiaTheme="minorEastAsia" w:cstheme="minorBidi"/>
      <w:color w:val="auto"/>
    </w:rPr>
  </w:style>
  <w:style w:type="paragraph" w:styleId="Textedebulles">
    <w:name w:val="Balloon Text"/>
    <w:basedOn w:val="Normal"/>
    <w:link w:val="TextedebullesCar"/>
    <w:uiPriority w:val="99"/>
    <w:semiHidden/>
    <w:unhideWhenUsed/>
    <w:rsid w:val="00FF0413"/>
    <w:pPr>
      <w:spacing w:before="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0413"/>
    <w:rPr>
      <w:rFonts w:ascii="Tahoma" w:hAnsi="Tahoma" w:cs="Tahoma"/>
      <w:sz w:val="16"/>
      <w:szCs w:val="16"/>
    </w:rPr>
  </w:style>
  <w:style w:type="paragraph" w:styleId="Titre">
    <w:name w:val="Title"/>
    <w:basedOn w:val="Normal"/>
    <w:next w:val="Normal"/>
    <w:link w:val="TitreCar"/>
    <w:uiPriority w:val="10"/>
    <w:qFormat/>
    <w:rsid w:val="00FF0413"/>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F0413"/>
    <w:rPr>
      <w:rFonts w:asciiTheme="majorHAnsi" w:eastAsiaTheme="majorEastAsia" w:hAnsiTheme="majorHAnsi" w:cstheme="majorBidi"/>
      <w:color w:val="17365D" w:themeColor="text2" w:themeShade="BF"/>
      <w:spacing w:val="5"/>
      <w:kern w:val="28"/>
      <w:sz w:val="52"/>
      <w:szCs w:val="52"/>
    </w:rPr>
  </w:style>
  <w:style w:type="paragraph" w:styleId="Paragraphedeliste">
    <w:name w:val="List Paragraph"/>
    <w:basedOn w:val="Normal"/>
    <w:link w:val="ParagraphedelisteCar"/>
    <w:uiPriority w:val="34"/>
    <w:qFormat/>
    <w:rsid w:val="0029334C"/>
    <w:pPr>
      <w:ind w:left="720"/>
      <w:contextualSpacing/>
    </w:pPr>
  </w:style>
  <w:style w:type="character" w:customStyle="1" w:styleId="Titre1Car">
    <w:name w:val="Titre 1 Car"/>
    <w:basedOn w:val="Policepardfaut"/>
    <w:link w:val="Titre1"/>
    <w:uiPriority w:val="9"/>
    <w:rsid w:val="002C028C"/>
    <w:rPr>
      <w:rFonts w:asciiTheme="majorHAnsi" w:eastAsiaTheme="majorEastAsia" w:hAnsiTheme="majorHAnsi" w:cstheme="majorBidi"/>
      <w:bCs/>
      <w:color w:val="17365D" w:themeColor="text2" w:themeShade="BF"/>
      <w:sz w:val="28"/>
      <w:szCs w:val="28"/>
    </w:rPr>
  </w:style>
  <w:style w:type="paragraph" w:styleId="Notedebasdepage">
    <w:name w:val="footnote text"/>
    <w:basedOn w:val="Normal"/>
    <w:link w:val="NotedebasdepageCar"/>
    <w:uiPriority w:val="99"/>
    <w:semiHidden/>
    <w:unhideWhenUsed/>
    <w:rsid w:val="00367C12"/>
    <w:pPr>
      <w:spacing w:before="0" w:line="240" w:lineRule="auto"/>
    </w:pPr>
    <w:rPr>
      <w:sz w:val="20"/>
      <w:szCs w:val="20"/>
    </w:rPr>
  </w:style>
  <w:style w:type="character" w:customStyle="1" w:styleId="NotedebasdepageCar">
    <w:name w:val="Note de bas de page Car"/>
    <w:basedOn w:val="Policepardfaut"/>
    <w:link w:val="Notedebasdepage"/>
    <w:uiPriority w:val="99"/>
    <w:semiHidden/>
    <w:rsid w:val="00367C12"/>
    <w:rPr>
      <w:sz w:val="20"/>
      <w:szCs w:val="20"/>
    </w:rPr>
  </w:style>
  <w:style w:type="character" w:styleId="Appelnotedebasdep">
    <w:name w:val="footnote reference"/>
    <w:basedOn w:val="Policepardfaut"/>
    <w:uiPriority w:val="99"/>
    <w:unhideWhenUsed/>
    <w:rsid w:val="00367C12"/>
    <w:rPr>
      <w:vertAlign w:val="superscript"/>
    </w:rPr>
  </w:style>
  <w:style w:type="paragraph" w:styleId="En-tte">
    <w:name w:val="header"/>
    <w:basedOn w:val="Normal"/>
    <w:link w:val="En-tteCar"/>
    <w:uiPriority w:val="99"/>
    <w:unhideWhenUsed/>
    <w:rsid w:val="002C028C"/>
    <w:pPr>
      <w:tabs>
        <w:tab w:val="center" w:pos="4536"/>
        <w:tab w:val="right" w:pos="9072"/>
      </w:tabs>
      <w:spacing w:before="0" w:line="240" w:lineRule="auto"/>
    </w:pPr>
  </w:style>
  <w:style w:type="character" w:customStyle="1" w:styleId="En-tteCar">
    <w:name w:val="En-tête Car"/>
    <w:basedOn w:val="Policepardfaut"/>
    <w:link w:val="En-tte"/>
    <w:uiPriority w:val="99"/>
    <w:rsid w:val="002C028C"/>
  </w:style>
  <w:style w:type="paragraph" w:styleId="Pieddepage">
    <w:name w:val="footer"/>
    <w:basedOn w:val="Normal"/>
    <w:link w:val="PieddepageCar"/>
    <w:uiPriority w:val="99"/>
    <w:unhideWhenUsed/>
    <w:rsid w:val="002C028C"/>
    <w:pPr>
      <w:tabs>
        <w:tab w:val="center" w:pos="4536"/>
        <w:tab w:val="right" w:pos="9072"/>
      </w:tabs>
      <w:spacing w:before="0" w:line="240" w:lineRule="auto"/>
    </w:pPr>
  </w:style>
  <w:style w:type="character" w:customStyle="1" w:styleId="PieddepageCar">
    <w:name w:val="Pied de page Car"/>
    <w:basedOn w:val="Policepardfaut"/>
    <w:link w:val="Pieddepage"/>
    <w:uiPriority w:val="99"/>
    <w:rsid w:val="002C028C"/>
  </w:style>
  <w:style w:type="paragraph" w:styleId="TM1">
    <w:name w:val="toc 1"/>
    <w:basedOn w:val="Normal"/>
    <w:next w:val="Normal"/>
    <w:autoRedefine/>
    <w:uiPriority w:val="39"/>
    <w:unhideWhenUsed/>
    <w:rsid w:val="002C028C"/>
    <w:pPr>
      <w:spacing w:before="360" w:after="360"/>
      <w:jc w:val="left"/>
    </w:pPr>
    <w:rPr>
      <w:rFonts w:asciiTheme="minorHAnsi" w:hAnsiTheme="minorHAnsi"/>
      <w:b/>
      <w:bCs/>
      <w:caps/>
      <w:u w:val="single"/>
    </w:rPr>
  </w:style>
  <w:style w:type="paragraph" w:styleId="TM2">
    <w:name w:val="toc 2"/>
    <w:basedOn w:val="Normal"/>
    <w:next w:val="Normal"/>
    <w:autoRedefine/>
    <w:uiPriority w:val="39"/>
    <w:unhideWhenUsed/>
    <w:rsid w:val="002C028C"/>
    <w:pPr>
      <w:spacing w:before="0"/>
      <w:jc w:val="left"/>
    </w:pPr>
    <w:rPr>
      <w:rFonts w:asciiTheme="minorHAnsi" w:hAnsiTheme="minorHAnsi"/>
      <w:b/>
      <w:bCs/>
      <w:smallCaps/>
    </w:rPr>
  </w:style>
  <w:style w:type="paragraph" w:styleId="TM3">
    <w:name w:val="toc 3"/>
    <w:basedOn w:val="Normal"/>
    <w:next w:val="Normal"/>
    <w:autoRedefine/>
    <w:uiPriority w:val="39"/>
    <w:unhideWhenUsed/>
    <w:rsid w:val="002C028C"/>
    <w:pPr>
      <w:spacing w:before="0"/>
      <w:jc w:val="left"/>
    </w:pPr>
    <w:rPr>
      <w:rFonts w:asciiTheme="minorHAnsi" w:hAnsiTheme="minorHAnsi"/>
      <w:smallCaps/>
    </w:rPr>
  </w:style>
  <w:style w:type="paragraph" w:styleId="TM4">
    <w:name w:val="toc 4"/>
    <w:basedOn w:val="Normal"/>
    <w:next w:val="Normal"/>
    <w:autoRedefine/>
    <w:uiPriority w:val="39"/>
    <w:unhideWhenUsed/>
    <w:rsid w:val="002C028C"/>
    <w:pPr>
      <w:spacing w:before="0"/>
      <w:jc w:val="left"/>
    </w:pPr>
    <w:rPr>
      <w:rFonts w:asciiTheme="minorHAnsi" w:hAnsiTheme="minorHAnsi"/>
    </w:rPr>
  </w:style>
  <w:style w:type="paragraph" w:styleId="TM5">
    <w:name w:val="toc 5"/>
    <w:basedOn w:val="Normal"/>
    <w:next w:val="Normal"/>
    <w:autoRedefine/>
    <w:uiPriority w:val="39"/>
    <w:unhideWhenUsed/>
    <w:rsid w:val="002C028C"/>
    <w:pPr>
      <w:spacing w:before="0"/>
      <w:jc w:val="left"/>
    </w:pPr>
    <w:rPr>
      <w:rFonts w:asciiTheme="minorHAnsi" w:hAnsiTheme="minorHAnsi"/>
    </w:rPr>
  </w:style>
  <w:style w:type="paragraph" w:styleId="TM6">
    <w:name w:val="toc 6"/>
    <w:basedOn w:val="Normal"/>
    <w:next w:val="Normal"/>
    <w:autoRedefine/>
    <w:uiPriority w:val="39"/>
    <w:unhideWhenUsed/>
    <w:rsid w:val="002C028C"/>
    <w:pPr>
      <w:spacing w:before="0"/>
      <w:jc w:val="left"/>
    </w:pPr>
    <w:rPr>
      <w:rFonts w:asciiTheme="minorHAnsi" w:hAnsiTheme="minorHAnsi"/>
    </w:rPr>
  </w:style>
  <w:style w:type="paragraph" w:styleId="TM7">
    <w:name w:val="toc 7"/>
    <w:basedOn w:val="Normal"/>
    <w:next w:val="Normal"/>
    <w:autoRedefine/>
    <w:uiPriority w:val="39"/>
    <w:unhideWhenUsed/>
    <w:rsid w:val="002C028C"/>
    <w:pPr>
      <w:spacing w:before="0"/>
      <w:jc w:val="left"/>
    </w:pPr>
    <w:rPr>
      <w:rFonts w:asciiTheme="minorHAnsi" w:hAnsiTheme="minorHAnsi"/>
    </w:rPr>
  </w:style>
  <w:style w:type="paragraph" w:styleId="TM8">
    <w:name w:val="toc 8"/>
    <w:basedOn w:val="Normal"/>
    <w:next w:val="Normal"/>
    <w:autoRedefine/>
    <w:uiPriority w:val="39"/>
    <w:unhideWhenUsed/>
    <w:rsid w:val="002C028C"/>
    <w:pPr>
      <w:spacing w:before="0"/>
      <w:jc w:val="left"/>
    </w:pPr>
    <w:rPr>
      <w:rFonts w:asciiTheme="minorHAnsi" w:hAnsiTheme="minorHAnsi"/>
    </w:rPr>
  </w:style>
  <w:style w:type="paragraph" w:styleId="TM9">
    <w:name w:val="toc 9"/>
    <w:basedOn w:val="Normal"/>
    <w:next w:val="Normal"/>
    <w:autoRedefine/>
    <w:uiPriority w:val="39"/>
    <w:unhideWhenUsed/>
    <w:rsid w:val="002C028C"/>
    <w:pPr>
      <w:spacing w:before="0"/>
      <w:jc w:val="left"/>
    </w:pPr>
    <w:rPr>
      <w:rFonts w:asciiTheme="minorHAnsi" w:hAnsiTheme="minorHAnsi"/>
    </w:rPr>
  </w:style>
  <w:style w:type="character" w:styleId="Lienhypertexte">
    <w:name w:val="Hyperlink"/>
    <w:basedOn w:val="Policepardfaut"/>
    <w:uiPriority w:val="99"/>
    <w:unhideWhenUsed/>
    <w:rsid w:val="002C028C"/>
    <w:rPr>
      <w:color w:val="0000FF" w:themeColor="hyperlink"/>
      <w:u w:val="single"/>
    </w:rPr>
  </w:style>
  <w:style w:type="table" w:styleId="Grillemoyenne2-Accent5">
    <w:name w:val="Medium Grid 2 Accent 5"/>
    <w:basedOn w:val="TableauNormal"/>
    <w:uiPriority w:val="68"/>
    <w:rsid w:val="000E1081"/>
    <w:pPr>
      <w:spacing w:line="240" w:lineRule="auto"/>
    </w:pPr>
    <w:rPr>
      <w:rFonts w:asciiTheme="majorHAnsi" w:eastAsiaTheme="majorEastAsia" w:hAnsiTheme="majorHAnsi" w:cstheme="majorBidi"/>
      <w:color w:val="000000" w:themeColor="text1"/>
      <w:lang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character" w:customStyle="1" w:styleId="ParagraphedelisteCar">
    <w:name w:val="Paragraphe de liste Car"/>
    <w:basedOn w:val="Policepardfaut"/>
    <w:link w:val="Paragraphedeliste"/>
    <w:uiPriority w:val="34"/>
    <w:rsid w:val="00D62094"/>
  </w:style>
  <w:style w:type="table" w:styleId="Grillemoyenne3-Accent5">
    <w:name w:val="Medium Grid 3 Accent 5"/>
    <w:basedOn w:val="TableauNormal"/>
    <w:uiPriority w:val="69"/>
    <w:rsid w:val="00D62094"/>
    <w:pPr>
      <w:spacing w:line="240" w:lineRule="auto"/>
    </w:pPr>
    <w:rPr>
      <w:rFonts w:asciiTheme="minorHAnsi" w:eastAsia="SimSun" w:hAnsiTheme="minorHAnsi" w:cstheme="minorBidi"/>
      <w:color w:val="auto"/>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138886">
      <w:bodyDiv w:val="1"/>
      <w:marLeft w:val="0"/>
      <w:marRight w:val="0"/>
      <w:marTop w:val="0"/>
      <w:marBottom w:val="0"/>
      <w:divBdr>
        <w:top w:val="none" w:sz="0" w:space="0" w:color="auto"/>
        <w:left w:val="none" w:sz="0" w:space="0" w:color="auto"/>
        <w:bottom w:val="none" w:sz="0" w:space="0" w:color="auto"/>
        <w:right w:val="none" w:sz="0" w:space="0" w:color="auto"/>
      </w:divBdr>
    </w:div>
    <w:div w:id="798306609">
      <w:bodyDiv w:val="1"/>
      <w:marLeft w:val="0"/>
      <w:marRight w:val="0"/>
      <w:marTop w:val="0"/>
      <w:marBottom w:val="0"/>
      <w:divBdr>
        <w:top w:val="none" w:sz="0" w:space="0" w:color="auto"/>
        <w:left w:val="none" w:sz="0" w:space="0" w:color="auto"/>
        <w:bottom w:val="none" w:sz="0" w:space="0" w:color="auto"/>
        <w:right w:val="none" w:sz="0" w:space="0" w:color="auto"/>
      </w:divBdr>
    </w:div>
    <w:div w:id="1322928202">
      <w:bodyDiv w:val="1"/>
      <w:marLeft w:val="0"/>
      <w:marRight w:val="0"/>
      <w:marTop w:val="0"/>
      <w:marBottom w:val="0"/>
      <w:divBdr>
        <w:top w:val="none" w:sz="0" w:space="0" w:color="auto"/>
        <w:left w:val="none" w:sz="0" w:space="0" w:color="auto"/>
        <w:bottom w:val="none" w:sz="0" w:space="0" w:color="auto"/>
        <w:right w:val="none" w:sz="0" w:space="0" w:color="auto"/>
      </w:divBdr>
    </w:div>
    <w:div w:id="1896160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chart" Target="charts/chart2.xml"/><Relationship Id="rId10" Type="http://schemas.openxmlformats.org/officeDocument/2006/relationships/image" Target="media/image2.png"/><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nas\autb\Activite\Urbanisme%20r&#233;glementaire\PLU\PLUi%20CCHS\Ressources\Supports%20de%20travail\Equipements%20et%20services\Comparaison_p&#244;les-structurants_SCO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nas\autb\Activite\Urbanisme%20r&#233;glementaire\PLU\PLUi%20CCHS\Ressources\Supports%20de%20travail\Equipements%20et%20services\Comparaison_p&#244;les-structurants_SCO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fr-FR" sz="1100" b="1" i="0" baseline="0">
                <a:effectLst/>
              </a:rPr>
              <a:t>Offre en équipements et en services au regard de la population totale de la commune</a:t>
            </a:r>
            <a:endParaRPr lang="fr-FR" sz="1100">
              <a:effectLst/>
            </a:endParaRPr>
          </a:p>
        </c:rich>
      </c:tx>
      <c:layout/>
      <c:overlay val="0"/>
    </c:title>
    <c:autoTitleDeleted val="0"/>
    <c:plotArea>
      <c:layout/>
      <c:barChart>
        <c:barDir val="bar"/>
        <c:grouping val="clustered"/>
        <c:varyColors val="0"/>
        <c:ser>
          <c:idx val="0"/>
          <c:order val="0"/>
          <c:tx>
            <c:strRef>
              <c:f>Feuil1!$M$4</c:f>
              <c:strCache>
                <c:ptCount val="1"/>
                <c:pt idx="0">
                  <c:v>Total des équipements /1000 habitants</c:v>
                </c:pt>
              </c:strCache>
            </c:strRef>
          </c:tx>
          <c:invertIfNegative val="0"/>
          <c:dPt>
            <c:idx val="0"/>
            <c:invertIfNegative val="0"/>
            <c:bubble3D val="0"/>
            <c:spPr>
              <a:solidFill>
                <a:schemeClr val="accent5">
                  <a:lumMod val="60000"/>
                  <a:lumOff val="40000"/>
                </a:schemeClr>
              </a:solidFill>
            </c:spPr>
          </c:dPt>
          <c:dPt>
            <c:idx val="1"/>
            <c:invertIfNegative val="0"/>
            <c:bubble3D val="0"/>
            <c:spPr>
              <a:solidFill>
                <a:schemeClr val="accent5">
                  <a:lumMod val="50000"/>
                </a:schemeClr>
              </a:solidFill>
            </c:spPr>
          </c:dPt>
          <c:dPt>
            <c:idx val="2"/>
            <c:invertIfNegative val="0"/>
            <c:bubble3D val="0"/>
            <c:spPr>
              <a:solidFill>
                <a:schemeClr val="accent5">
                  <a:lumMod val="60000"/>
                  <a:lumOff val="40000"/>
                </a:schemeClr>
              </a:solidFill>
            </c:spPr>
          </c:dPt>
          <c:dPt>
            <c:idx val="3"/>
            <c:invertIfNegative val="0"/>
            <c:bubble3D val="0"/>
            <c:spPr>
              <a:solidFill>
                <a:schemeClr val="accent5">
                  <a:lumMod val="60000"/>
                  <a:lumOff val="40000"/>
                </a:schemeClr>
              </a:solidFill>
            </c:spPr>
          </c:dPt>
          <c:dPt>
            <c:idx val="4"/>
            <c:invertIfNegative val="0"/>
            <c:bubble3D val="0"/>
            <c:spPr>
              <a:solidFill>
                <a:schemeClr val="accent5">
                  <a:lumMod val="60000"/>
                  <a:lumOff val="40000"/>
                </a:schemeClr>
              </a:solidFill>
            </c:spPr>
          </c:dPt>
          <c:dPt>
            <c:idx val="5"/>
            <c:invertIfNegative val="0"/>
            <c:bubble3D val="0"/>
            <c:spPr>
              <a:solidFill>
                <a:schemeClr val="accent5">
                  <a:lumMod val="60000"/>
                  <a:lumOff val="40000"/>
                </a:schemeClr>
              </a:solidFill>
            </c:spPr>
          </c:dPt>
          <c:dPt>
            <c:idx val="6"/>
            <c:invertIfNegative val="0"/>
            <c:bubble3D val="0"/>
            <c:spPr>
              <a:solidFill>
                <a:schemeClr val="accent5">
                  <a:lumMod val="60000"/>
                  <a:lumOff val="40000"/>
                </a:schemeClr>
              </a:solidFill>
            </c:spPr>
          </c:dPt>
          <c:dPt>
            <c:idx val="7"/>
            <c:invertIfNegative val="0"/>
            <c:bubble3D val="0"/>
            <c:spPr>
              <a:solidFill>
                <a:schemeClr val="accent5">
                  <a:lumMod val="60000"/>
                  <a:lumOff val="40000"/>
                </a:schemeClr>
              </a:solidFill>
            </c:spPr>
          </c:dPt>
          <c:cat>
            <c:strRef>
              <c:f>Feuil1!$A$5:$A$12</c:f>
              <c:strCache>
                <c:ptCount val="8"/>
                <c:pt idx="0">
                  <c:v>Pont-de-roide</c:v>
                </c:pt>
                <c:pt idx="1">
                  <c:v>Giromagny</c:v>
                </c:pt>
                <c:pt idx="2">
                  <c:v>Delle</c:v>
                </c:pt>
                <c:pt idx="3">
                  <c:v>Héricourt</c:v>
                </c:pt>
                <c:pt idx="4">
                  <c:v>Audincourt</c:v>
                </c:pt>
                <c:pt idx="5">
                  <c:v>Sochaux</c:v>
                </c:pt>
                <c:pt idx="6">
                  <c:v>Beaucourt</c:v>
                </c:pt>
                <c:pt idx="7">
                  <c:v>Valentigney</c:v>
                </c:pt>
              </c:strCache>
            </c:strRef>
          </c:cat>
          <c:val>
            <c:numRef>
              <c:f>Feuil1!$M$5:$M$12</c:f>
              <c:numCache>
                <c:formatCode>#,##0.0</c:formatCode>
                <c:ptCount val="8"/>
                <c:pt idx="0">
                  <c:v>50.30730707944457</c:v>
                </c:pt>
                <c:pt idx="1">
                  <c:v>45.608628659476118</c:v>
                </c:pt>
                <c:pt idx="2">
                  <c:v>37.422386306427256</c:v>
                </c:pt>
                <c:pt idx="3">
                  <c:v>35.789072910717685</c:v>
                </c:pt>
                <c:pt idx="4">
                  <c:v>35.135494155154092</c:v>
                </c:pt>
                <c:pt idx="5">
                  <c:v>34.644889878742887</c:v>
                </c:pt>
                <c:pt idx="6">
                  <c:v>26.871401151631478</c:v>
                </c:pt>
                <c:pt idx="7">
                  <c:v>25.624361712004458</c:v>
                </c:pt>
              </c:numCache>
            </c:numRef>
          </c:val>
        </c:ser>
        <c:dLbls>
          <c:showLegendKey val="0"/>
          <c:showVal val="1"/>
          <c:showCatName val="0"/>
          <c:showSerName val="0"/>
          <c:showPercent val="0"/>
          <c:showBubbleSize val="0"/>
        </c:dLbls>
        <c:gapWidth val="75"/>
        <c:axId val="175739904"/>
        <c:axId val="183470912"/>
      </c:barChart>
      <c:catAx>
        <c:axId val="175739904"/>
        <c:scaling>
          <c:orientation val="minMax"/>
        </c:scaling>
        <c:delete val="0"/>
        <c:axPos val="l"/>
        <c:majorTickMark val="none"/>
        <c:minorTickMark val="none"/>
        <c:tickLblPos val="nextTo"/>
        <c:crossAx val="183470912"/>
        <c:crosses val="autoZero"/>
        <c:auto val="1"/>
        <c:lblAlgn val="ctr"/>
        <c:lblOffset val="100"/>
        <c:noMultiLvlLbl val="0"/>
      </c:catAx>
      <c:valAx>
        <c:axId val="183470912"/>
        <c:scaling>
          <c:orientation val="minMax"/>
        </c:scaling>
        <c:delete val="0"/>
        <c:axPos val="b"/>
        <c:title>
          <c:tx>
            <c:rich>
              <a:bodyPr/>
              <a:lstStyle/>
              <a:p>
                <a:pPr>
                  <a:defRPr sz="900"/>
                </a:pPr>
                <a:r>
                  <a:rPr lang="fr-FR" sz="900"/>
                  <a:t>Nombre</a:t>
                </a:r>
                <a:r>
                  <a:rPr lang="fr-FR" sz="900" baseline="0"/>
                  <a:t> d'équipements et de services pour 1000 habitants </a:t>
                </a:r>
                <a:endParaRPr lang="fr-FR" sz="900"/>
              </a:p>
            </c:rich>
          </c:tx>
          <c:layout>
            <c:manualLayout>
              <c:xMode val="edge"/>
              <c:yMode val="edge"/>
              <c:x val="0.22121496717672195"/>
              <c:y val="0.87249097644942641"/>
            </c:manualLayout>
          </c:layout>
          <c:overlay val="0"/>
        </c:title>
        <c:numFmt formatCode="#,##0.0" sourceLinked="1"/>
        <c:majorTickMark val="none"/>
        <c:minorTickMark val="none"/>
        <c:tickLblPos val="nextTo"/>
        <c:crossAx val="175739904"/>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050"/>
              <a:t>Nombre total d'équipements pour 1000 emplois au lieu de travail</a:t>
            </a:r>
          </a:p>
        </c:rich>
      </c:tx>
      <c:layout/>
      <c:overlay val="0"/>
    </c:title>
    <c:autoTitleDeleted val="0"/>
    <c:plotArea>
      <c:layout/>
      <c:barChart>
        <c:barDir val="bar"/>
        <c:grouping val="clustered"/>
        <c:varyColors val="0"/>
        <c:ser>
          <c:idx val="0"/>
          <c:order val="0"/>
          <c:tx>
            <c:strRef>
              <c:f>Feuil1!$D$70</c:f>
              <c:strCache>
                <c:ptCount val="1"/>
                <c:pt idx="0">
                  <c:v>Nombre total d'équipements pour 1000 emplois au lieu de travail</c:v>
                </c:pt>
              </c:strCache>
            </c:strRef>
          </c:tx>
          <c:invertIfNegative val="0"/>
          <c:dPt>
            <c:idx val="0"/>
            <c:invertIfNegative val="0"/>
            <c:bubble3D val="0"/>
            <c:spPr>
              <a:solidFill>
                <a:schemeClr val="accent5">
                  <a:lumMod val="60000"/>
                  <a:lumOff val="40000"/>
                </a:schemeClr>
              </a:solidFill>
            </c:spPr>
          </c:dPt>
          <c:dPt>
            <c:idx val="1"/>
            <c:invertIfNegative val="0"/>
            <c:bubble3D val="0"/>
            <c:spPr>
              <a:solidFill>
                <a:schemeClr val="accent5">
                  <a:lumMod val="60000"/>
                  <a:lumOff val="40000"/>
                </a:schemeClr>
              </a:solidFill>
            </c:spPr>
          </c:dPt>
          <c:dPt>
            <c:idx val="2"/>
            <c:invertIfNegative val="0"/>
            <c:bubble3D val="0"/>
            <c:spPr>
              <a:solidFill>
                <a:schemeClr val="accent5">
                  <a:lumMod val="60000"/>
                  <a:lumOff val="40000"/>
                </a:schemeClr>
              </a:solidFill>
            </c:spPr>
          </c:dPt>
          <c:dPt>
            <c:idx val="3"/>
            <c:invertIfNegative val="0"/>
            <c:bubble3D val="0"/>
            <c:spPr>
              <a:solidFill>
                <a:schemeClr val="accent5">
                  <a:lumMod val="60000"/>
                  <a:lumOff val="40000"/>
                </a:schemeClr>
              </a:solidFill>
            </c:spPr>
          </c:dPt>
          <c:dPt>
            <c:idx val="4"/>
            <c:invertIfNegative val="0"/>
            <c:bubble3D val="0"/>
            <c:spPr>
              <a:solidFill>
                <a:schemeClr val="accent5">
                  <a:lumMod val="60000"/>
                  <a:lumOff val="40000"/>
                </a:schemeClr>
              </a:solidFill>
            </c:spPr>
          </c:dPt>
          <c:dPt>
            <c:idx val="5"/>
            <c:invertIfNegative val="0"/>
            <c:bubble3D val="0"/>
            <c:spPr>
              <a:solidFill>
                <a:schemeClr val="accent5">
                  <a:lumMod val="60000"/>
                  <a:lumOff val="40000"/>
                </a:schemeClr>
              </a:solidFill>
            </c:spPr>
          </c:dPt>
          <c:dPt>
            <c:idx val="6"/>
            <c:invertIfNegative val="0"/>
            <c:bubble3D val="0"/>
            <c:spPr>
              <a:solidFill>
                <a:schemeClr val="accent5">
                  <a:lumMod val="60000"/>
                  <a:lumOff val="40000"/>
                </a:schemeClr>
              </a:solidFill>
            </c:spPr>
          </c:dPt>
          <c:dPt>
            <c:idx val="7"/>
            <c:invertIfNegative val="0"/>
            <c:bubble3D val="0"/>
            <c:spPr>
              <a:solidFill>
                <a:schemeClr val="accent5">
                  <a:lumMod val="50000"/>
                </a:schemeClr>
              </a:solidFill>
            </c:spPr>
          </c:dPt>
          <c:cat>
            <c:strRef>
              <c:f>Feuil1!$C$71:$C$78</c:f>
              <c:strCache>
                <c:ptCount val="8"/>
                <c:pt idx="0">
                  <c:v>Sochaux</c:v>
                </c:pt>
                <c:pt idx="1">
                  <c:v>Delle</c:v>
                </c:pt>
                <c:pt idx="2">
                  <c:v>Audincourt</c:v>
                </c:pt>
                <c:pt idx="3">
                  <c:v>Beaucourt</c:v>
                </c:pt>
                <c:pt idx="4">
                  <c:v>Héricourt</c:v>
                </c:pt>
                <c:pt idx="5">
                  <c:v>Valentigney</c:v>
                </c:pt>
                <c:pt idx="6">
                  <c:v>Pont-de-roide</c:v>
                </c:pt>
                <c:pt idx="7">
                  <c:v>GIROMAGNY</c:v>
                </c:pt>
              </c:strCache>
            </c:strRef>
          </c:cat>
          <c:val>
            <c:numRef>
              <c:f>Feuil1!$D$71:$D$78</c:f>
              <c:numCache>
                <c:formatCode>#,##0.0</c:formatCode>
                <c:ptCount val="8"/>
                <c:pt idx="0">
                  <c:v>11.254019292604502</c:v>
                </c:pt>
                <c:pt idx="1">
                  <c:v>85.769230769230774</c:v>
                </c:pt>
                <c:pt idx="2">
                  <c:v>93.512462435920099</c:v>
                </c:pt>
                <c:pt idx="3">
                  <c:v>100.35842293906811</c:v>
                </c:pt>
                <c:pt idx="4">
                  <c:v>102.59208731241473</c:v>
                </c:pt>
                <c:pt idx="5">
                  <c:v>105.78765810655423</c:v>
                </c:pt>
                <c:pt idx="6">
                  <c:v>127.45098039215686</c:v>
                </c:pt>
                <c:pt idx="7">
                  <c:v>170.90069284064666</c:v>
                </c:pt>
              </c:numCache>
            </c:numRef>
          </c:val>
        </c:ser>
        <c:dLbls>
          <c:showLegendKey val="0"/>
          <c:showVal val="1"/>
          <c:showCatName val="0"/>
          <c:showSerName val="0"/>
          <c:showPercent val="0"/>
          <c:showBubbleSize val="0"/>
        </c:dLbls>
        <c:gapWidth val="75"/>
        <c:axId val="175739392"/>
        <c:axId val="183472640"/>
      </c:barChart>
      <c:catAx>
        <c:axId val="175739392"/>
        <c:scaling>
          <c:orientation val="minMax"/>
        </c:scaling>
        <c:delete val="0"/>
        <c:axPos val="l"/>
        <c:majorTickMark val="none"/>
        <c:minorTickMark val="none"/>
        <c:tickLblPos val="nextTo"/>
        <c:crossAx val="183472640"/>
        <c:crosses val="autoZero"/>
        <c:auto val="1"/>
        <c:lblAlgn val="ctr"/>
        <c:lblOffset val="100"/>
        <c:noMultiLvlLbl val="0"/>
      </c:catAx>
      <c:valAx>
        <c:axId val="183472640"/>
        <c:scaling>
          <c:orientation val="minMax"/>
        </c:scaling>
        <c:delete val="0"/>
        <c:axPos val="b"/>
        <c:title>
          <c:tx>
            <c:rich>
              <a:bodyPr/>
              <a:lstStyle/>
              <a:p>
                <a:pPr>
                  <a:defRPr sz="800"/>
                </a:pPr>
                <a:r>
                  <a:rPr lang="fr-FR" sz="800"/>
                  <a:t>Nombre</a:t>
                </a:r>
                <a:r>
                  <a:rPr lang="fr-FR" sz="800" baseline="0"/>
                  <a:t> d'équipements et de services pour 1000 emplois au lieu de travail</a:t>
                </a:r>
                <a:endParaRPr lang="fr-FR" sz="800"/>
              </a:p>
            </c:rich>
          </c:tx>
          <c:layout>
            <c:manualLayout>
              <c:xMode val="edge"/>
              <c:yMode val="edge"/>
              <c:x val="0.19572327044025153"/>
              <c:y val="0.90188214708455561"/>
            </c:manualLayout>
          </c:layout>
          <c:overlay val="0"/>
        </c:title>
        <c:numFmt formatCode="#,##0.0" sourceLinked="1"/>
        <c:majorTickMark val="none"/>
        <c:minorTickMark val="none"/>
        <c:tickLblPos val="nextTo"/>
        <c:crossAx val="175739392"/>
        <c:crosses val="autoZero"/>
        <c:crossBetween val="between"/>
      </c:valAx>
    </c:plotArea>
    <c:plotVisOnly val="1"/>
    <c:dispBlanksAs val="gap"/>
    <c:showDLblsOverMax val="0"/>
  </c:chart>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98606D6A6AD4B808B81D17C5222CCFF"/>
        <w:category>
          <w:name w:val="Général"/>
          <w:gallery w:val="placeholder"/>
        </w:category>
        <w:types>
          <w:type w:val="bbPlcHdr"/>
        </w:types>
        <w:behaviors>
          <w:behavior w:val="content"/>
        </w:behaviors>
        <w:guid w:val="{B0273118-9953-47D9-8184-51913867CDD0}"/>
      </w:docPartPr>
      <w:docPartBody>
        <w:p w:rsidR="00C948B1" w:rsidRDefault="00FF1045" w:rsidP="00FF1045">
          <w:pPr>
            <w:pStyle w:val="B98606D6A6AD4B808B81D17C5222CCFF"/>
          </w:pPr>
          <w:r>
            <w:rPr>
              <w:rFonts w:asciiTheme="majorHAnsi" w:eastAsiaTheme="majorEastAsia" w:hAnsiTheme="majorHAnsi" w:cstheme="majorBidi"/>
              <w:sz w:val="80"/>
              <w:szCs w:val="80"/>
            </w:rPr>
            <w:t>[Titre du document]</w:t>
          </w:r>
        </w:p>
      </w:docPartBody>
    </w:docPart>
    <w:docPart>
      <w:docPartPr>
        <w:name w:val="75988357C4FC42F09F11D885A1C7A2B1"/>
        <w:category>
          <w:name w:val="Général"/>
          <w:gallery w:val="placeholder"/>
        </w:category>
        <w:types>
          <w:type w:val="bbPlcHdr"/>
        </w:types>
        <w:behaviors>
          <w:behavior w:val="content"/>
        </w:behaviors>
        <w:guid w:val="{2AE0F95A-5EF5-4AC5-8B3F-4CB4D1E8C933}"/>
      </w:docPartPr>
      <w:docPartBody>
        <w:p w:rsidR="00C948B1" w:rsidRDefault="00FF1045" w:rsidP="00FF1045">
          <w:pPr>
            <w:pStyle w:val="75988357C4FC42F09F11D885A1C7A2B1"/>
          </w:pPr>
          <w:r>
            <w:rPr>
              <w:rFonts w:asciiTheme="majorHAnsi" w:eastAsiaTheme="majorEastAsia" w:hAnsiTheme="majorHAnsi" w:cstheme="majorBidi"/>
              <w:sz w:val="44"/>
              <w:szCs w:val="44"/>
            </w:rPr>
            <w:t>[Sous-titre du document]</w:t>
          </w:r>
        </w:p>
      </w:docPartBody>
    </w:docPart>
    <w:docPart>
      <w:docPartPr>
        <w:name w:val="2D8EA730DAA14542BDA9F080B8A205D5"/>
        <w:category>
          <w:name w:val="Général"/>
          <w:gallery w:val="placeholder"/>
        </w:category>
        <w:types>
          <w:type w:val="bbPlcHdr"/>
        </w:types>
        <w:behaviors>
          <w:behavior w:val="content"/>
        </w:behaviors>
        <w:guid w:val="{CBF387AF-CADA-45A3-858D-E9EF5A97B276}"/>
      </w:docPartPr>
      <w:docPartBody>
        <w:p w:rsidR="00C948B1" w:rsidRDefault="00FF1045" w:rsidP="00FF1045">
          <w:pPr>
            <w:pStyle w:val="2D8EA730DAA14542BDA9F080B8A205D5"/>
          </w:pPr>
          <w:r>
            <w:rPr>
              <w:b/>
              <w:bCs/>
            </w:rPr>
            <w:t>[Nom de l’auteur]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A1002AEF" w:usb1="8000787B" w:usb2="00000008" w:usb3="00000000" w:csb0="000100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045"/>
    <w:rsid w:val="00C948B1"/>
    <w:rsid w:val="00FF10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777898C794F48AE8042C21DACAD8C81">
    <w:name w:val="A777898C794F48AE8042C21DACAD8C81"/>
    <w:rsid w:val="00FF1045"/>
  </w:style>
  <w:style w:type="paragraph" w:customStyle="1" w:styleId="B98606D6A6AD4B808B81D17C5222CCFF">
    <w:name w:val="B98606D6A6AD4B808B81D17C5222CCFF"/>
    <w:rsid w:val="00FF1045"/>
  </w:style>
  <w:style w:type="paragraph" w:customStyle="1" w:styleId="75988357C4FC42F09F11D885A1C7A2B1">
    <w:name w:val="75988357C4FC42F09F11D885A1C7A2B1"/>
    <w:rsid w:val="00FF1045"/>
  </w:style>
  <w:style w:type="paragraph" w:customStyle="1" w:styleId="2D8EA730DAA14542BDA9F080B8A205D5">
    <w:name w:val="2D8EA730DAA14542BDA9F080B8A205D5"/>
    <w:rsid w:val="00FF1045"/>
  </w:style>
  <w:style w:type="paragraph" w:customStyle="1" w:styleId="C68674C0368D46A0BADAF0727A795D9A">
    <w:name w:val="C68674C0368D46A0BADAF0727A795D9A"/>
    <w:rsid w:val="00FF1045"/>
  </w:style>
  <w:style w:type="paragraph" w:customStyle="1" w:styleId="6F925D27D833413CA840FF1B5DBC7E3C">
    <w:name w:val="6F925D27D833413CA840FF1B5DBC7E3C"/>
    <w:rsid w:val="00FF1045"/>
  </w:style>
  <w:style w:type="paragraph" w:customStyle="1" w:styleId="7E03DAFCD4A34958B2D76B4F234D4F17">
    <w:name w:val="7E03DAFCD4A34958B2D76B4F234D4F17"/>
    <w:rsid w:val="00C948B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777898C794F48AE8042C21DACAD8C81">
    <w:name w:val="A777898C794F48AE8042C21DACAD8C81"/>
    <w:rsid w:val="00FF1045"/>
  </w:style>
  <w:style w:type="paragraph" w:customStyle="1" w:styleId="B98606D6A6AD4B808B81D17C5222CCFF">
    <w:name w:val="B98606D6A6AD4B808B81D17C5222CCFF"/>
    <w:rsid w:val="00FF1045"/>
  </w:style>
  <w:style w:type="paragraph" w:customStyle="1" w:styleId="75988357C4FC42F09F11D885A1C7A2B1">
    <w:name w:val="75988357C4FC42F09F11D885A1C7A2B1"/>
    <w:rsid w:val="00FF1045"/>
  </w:style>
  <w:style w:type="paragraph" w:customStyle="1" w:styleId="2D8EA730DAA14542BDA9F080B8A205D5">
    <w:name w:val="2D8EA730DAA14542BDA9F080B8A205D5"/>
    <w:rsid w:val="00FF1045"/>
  </w:style>
  <w:style w:type="paragraph" w:customStyle="1" w:styleId="C68674C0368D46A0BADAF0727A795D9A">
    <w:name w:val="C68674C0368D46A0BADAF0727A795D9A"/>
    <w:rsid w:val="00FF1045"/>
  </w:style>
  <w:style w:type="paragraph" w:customStyle="1" w:styleId="6F925D27D833413CA840FF1B5DBC7E3C">
    <w:name w:val="6F925D27D833413CA840FF1B5DBC7E3C"/>
    <w:rsid w:val="00FF1045"/>
  </w:style>
  <w:style w:type="paragraph" w:customStyle="1" w:styleId="7E03DAFCD4A34958B2D76B4F234D4F17">
    <w:name w:val="7E03DAFCD4A34958B2D76B4F234D4F17"/>
    <w:rsid w:val="00C948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F246F-5E6E-44BB-A701-2A76B32D9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9</Pages>
  <Words>1735</Words>
  <Characters>9547</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FICHE METHODE : COMPARAISON DES PÔLES DE SERVICES</vt:lpstr>
    </vt:vector>
  </TitlesOfParts>
  <Company>Microsoft</Company>
  <LinksUpToDate>false</LinksUpToDate>
  <CharactersWithSpaces>11260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METHODE : COMPARAISON DES PÔLES DE SERVICES</dc:title>
  <dc:subject>Juillet 2015</dc:subject>
  <dc:creator>Sophie Christ</dc:creator>
  <cp:lastModifiedBy>Sophie Christ</cp:lastModifiedBy>
  <cp:revision>9</cp:revision>
  <cp:lastPrinted>2015-07-29T15:25:00Z</cp:lastPrinted>
  <dcterms:created xsi:type="dcterms:W3CDTF">2015-07-24T07:04:00Z</dcterms:created>
  <dcterms:modified xsi:type="dcterms:W3CDTF">2015-07-29T15:26:00Z</dcterms:modified>
</cp:coreProperties>
</file>