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7ED" w:rsidRPr="00C54A87" w:rsidRDefault="000E5AC7" w:rsidP="00E16A81">
      <w:pPr>
        <w:spacing w:before="0"/>
        <w:rPr>
          <w:rFonts w:asciiTheme="majorHAnsi" w:eastAsia="Arial" w:hAnsiTheme="majorHAnsi" w:cs="Arial"/>
          <w:b/>
          <w:color w:val="000000"/>
          <w:sz w:val="40"/>
          <w:szCs w:val="40"/>
          <w:lang w:eastAsia="fr-FR"/>
        </w:rPr>
      </w:pPr>
      <w:r w:rsidRPr="00C54A87">
        <w:rPr>
          <w:rFonts w:asciiTheme="majorHAnsi" w:eastAsia="Arial" w:hAnsiTheme="majorHAnsi" w:cs="Arial"/>
          <w:b/>
          <w:color w:val="000000"/>
          <w:sz w:val="40"/>
          <w:szCs w:val="40"/>
          <w:lang w:eastAsia="fr-FR"/>
        </w:rPr>
        <w:t>THEMATIQUE ACTION SOCIALE</w:t>
      </w:r>
    </w:p>
    <w:p w:rsidR="002427ED" w:rsidRDefault="002427ED" w:rsidP="00C54A87">
      <w:pPr>
        <w:spacing w:before="360"/>
      </w:pPr>
      <w:r>
        <w:t xml:space="preserve">Définition de l’action sociale de l’article L. 116-1 du Code de l’action sociale et des familles (issue de la loi n° 2002-2 du 2 janvier 2002) : </w:t>
      </w:r>
    </w:p>
    <w:p w:rsidR="002427ED" w:rsidRPr="002427ED" w:rsidRDefault="002427ED" w:rsidP="002427ED">
      <w:pPr>
        <w:pBdr>
          <w:top w:val="single" w:sz="4" w:space="1" w:color="92CDDC" w:themeColor="accent5" w:themeTint="99"/>
          <w:left w:val="single" w:sz="4" w:space="4" w:color="92CDDC" w:themeColor="accent5" w:themeTint="99"/>
          <w:bottom w:val="single" w:sz="4" w:space="1" w:color="92CDDC" w:themeColor="accent5" w:themeTint="99"/>
          <w:right w:val="single" w:sz="4" w:space="4" w:color="92CDDC" w:themeColor="accent5" w:themeTint="99"/>
        </w:pBdr>
        <w:rPr>
          <w:i/>
        </w:rPr>
      </w:pPr>
      <w:r w:rsidRPr="002427ED">
        <w:rPr>
          <w:i/>
        </w:rPr>
        <w:t xml:space="preserve">L’action sociale et médico-sociale tend à promouvoir, dans un cadre interministériel, l’autonomie et la protection des personnes, la cohésion sociale, l’exercice de la citoyenneté, à prévenir les exclusions et à en corriger les effets. </w:t>
      </w:r>
    </w:p>
    <w:p w:rsidR="002427ED" w:rsidRPr="002427ED" w:rsidRDefault="002427ED" w:rsidP="002427ED">
      <w:pPr>
        <w:pBdr>
          <w:top w:val="single" w:sz="4" w:space="1" w:color="92CDDC" w:themeColor="accent5" w:themeTint="99"/>
          <w:left w:val="single" w:sz="4" w:space="4" w:color="92CDDC" w:themeColor="accent5" w:themeTint="99"/>
          <w:bottom w:val="single" w:sz="4" w:space="1" w:color="92CDDC" w:themeColor="accent5" w:themeTint="99"/>
          <w:right w:val="single" w:sz="4" w:space="4" w:color="92CDDC" w:themeColor="accent5" w:themeTint="99"/>
        </w:pBdr>
        <w:rPr>
          <w:i/>
        </w:rPr>
      </w:pPr>
      <w:r w:rsidRPr="002427ED">
        <w:rPr>
          <w:i/>
        </w:rPr>
        <w:t xml:space="preserve">Elle repose sur une évaluation continue des besoins et des attentes des membres de tous les groupes sociaux, en particulier des </w:t>
      </w:r>
      <w:r w:rsidRPr="002427ED">
        <w:rPr>
          <w:b/>
          <w:i/>
        </w:rPr>
        <w:t>personnes handicapées et des personnes âgées</w:t>
      </w:r>
      <w:r w:rsidRPr="002427ED">
        <w:rPr>
          <w:i/>
        </w:rPr>
        <w:t xml:space="preserve">, des </w:t>
      </w:r>
      <w:r w:rsidRPr="002427ED">
        <w:rPr>
          <w:b/>
          <w:i/>
        </w:rPr>
        <w:t>personnes et des familles vulnérables</w:t>
      </w:r>
      <w:r w:rsidRPr="002427ED">
        <w:rPr>
          <w:i/>
        </w:rPr>
        <w:t>, en situation de précarité ou de pauvreté, et sur la mise à leur disposition de prestations en espèces ou en nature.</w:t>
      </w:r>
    </w:p>
    <w:p w:rsidR="002427ED" w:rsidRPr="002427ED" w:rsidRDefault="002427ED" w:rsidP="002427ED">
      <w:pPr>
        <w:pBdr>
          <w:top w:val="single" w:sz="4" w:space="1" w:color="92CDDC" w:themeColor="accent5" w:themeTint="99"/>
          <w:left w:val="single" w:sz="4" w:space="4" w:color="92CDDC" w:themeColor="accent5" w:themeTint="99"/>
          <w:bottom w:val="single" w:sz="4" w:space="1" w:color="92CDDC" w:themeColor="accent5" w:themeTint="99"/>
          <w:right w:val="single" w:sz="4" w:space="4" w:color="92CDDC" w:themeColor="accent5" w:themeTint="99"/>
        </w:pBdr>
        <w:rPr>
          <w:i/>
        </w:rPr>
      </w:pPr>
      <w:r w:rsidRPr="002427ED">
        <w:rPr>
          <w:i/>
        </w:rPr>
        <w:t>Elle est mise en œuvre par l'État, les collectivités territoriales et leurs établissements publics, les organismes de Sécurité sociale, les associations ainsi que par les institutions sociales et médico-sociales au sens de l'article L. 311-1.</w:t>
      </w:r>
    </w:p>
    <w:p w:rsidR="00C54A87" w:rsidRDefault="00C54A87" w:rsidP="00C54A87">
      <w:pPr>
        <w:spacing w:before="0"/>
      </w:pPr>
    </w:p>
    <w:p w:rsidR="00C54A87" w:rsidRDefault="00336411" w:rsidP="00C54A87">
      <w:pPr>
        <w:spacing w:before="0" w:after="240"/>
      </w:pPr>
      <w:r>
        <w:t xml:space="preserve">Pour l’analyse du niveau d’équipements et de services d’action sociale d’une commune ou d’une intercommunalité dans le cadre d’un document d’urbanisme type PLU ou PLUi, </w:t>
      </w:r>
      <w:r w:rsidR="00E4789A">
        <w:t>nous nous basons sur la BPE 2014</w:t>
      </w:r>
      <w:r>
        <w:t xml:space="preserve"> de l’INSEE en reprenant les mêmes variables : </w:t>
      </w:r>
    </w:p>
    <w:tbl>
      <w:tblPr>
        <w:tblStyle w:val="Listeclaire-Accent1"/>
        <w:tblW w:w="0" w:type="auto"/>
        <w:tblLook w:val="04A0" w:firstRow="1" w:lastRow="0" w:firstColumn="1" w:lastColumn="0" w:noHBand="0" w:noVBand="1"/>
      </w:tblPr>
      <w:tblGrid>
        <w:gridCol w:w="4219"/>
        <w:gridCol w:w="5743"/>
      </w:tblGrid>
      <w:tr w:rsidR="00336411" w:rsidTr="00E16A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336411" w:rsidRDefault="00336411" w:rsidP="00C54A87">
            <w:pPr>
              <w:spacing w:before="0"/>
            </w:pPr>
            <w:r>
              <w:t>TYPE EQUIPEMENT</w:t>
            </w:r>
          </w:p>
        </w:tc>
        <w:tc>
          <w:tcPr>
            <w:tcW w:w="5743" w:type="dxa"/>
          </w:tcPr>
          <w:p w:rsidR="00336411" w:rsidRDefault="00336411" w:rsidP="00C54A87">
            <w:pPr>
              <w:spacing w:before="0"/>
              <w:cnfStyle w:val="100000000000" w:firstRow="1" w:lastRow="0" w:firstColumn="0" w:lastColumn="0" w:oddVBand="0" w:evenVBand="0" w:oddHBand="0" w:evenHBand="0" w:firstRowFirstColumn="0" w:firstRowLastColumn="0" w:lastRowFirstColumn="0" w:lastRowLastColumn="0"/>
            </w:pPr>
            <w:r>
              <w:t>DESCRIPTION DE L’INSEE</w:t>
            </w:r>
          </w:p>
        </w:tc>
      </w:tr>
      <w:tr w:rsidR="00336411" w:rsidTr="00E16A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336411" w:rsidRPr="00336411" w:rsidRDefault="00336411" w:rsidP="00336411">
            <w:pPr>
              <w:jc w:val="left"/>
              <w:rPr>
                <w:sz w:val="20"/>
              </w:rPr>
            </w:pPr>
            <w:r w:rsidRPr="00336411">
              <w:rPr>
                <w:sz w:val="20"/>
              </w:rPr>
              <w:t>Personnes âgées : hébergement</w:t>
            </w:r>
          </w:p>
        </w:tc>
        <w:tc>
          <w:tcPr>
            <w:tcW w:w="5743" w:type="dxa"/>
          </w:tcPr>
          <w:p w:rsidR="00336411" w:rsidRPr="00336411" w:rsidRDefault="00336411" w:rsidP="000E5AC7">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36411">
              <w:rPr>
                <w:rFonts w:cs="Arial"/>
                <w:sz w:val="20"/>
                <w:szCs w:val="20"/>
              </w:rPr>
              <w:t xml:space="preserve">Etablissement d'hébergement pour personnes âgées. Hospices, maisons de retraite, logements foyers et résidences d'hébergement temporaire. </w:t>
            </w:r>
          </w:p>
        </w:tc>
      </w:tr>
      <w:tr w:rsidR="00336411" w:rsidTr="00E16A81">
        <w:tc>
          <w:tcPr>
            <w:cnfStyle w:val="001000000000" w:firstRow="0" w:lastRow="0" w:firstColumn="1" w:lastColumn="0" w:oddVBand="0" w:evenVBand="0" w:oddHBand="0" w:evenHBand="0" w:firstRowFirstColumn="0" w:firstRowLastColumn="0" w:lastRowFirstColumn="0" w:lastRowLastColumn="0"/>
            <w:tcW w:w="4219" w:type="dxa"/>
          </w:tcPr>
          <w:p w:rsidR="00336411" w:rsidRPr="00336411" w:rsidRDefault="00336411" w:rsidP="00336411">
            <w:pPr>
              <w:jc w:val="left"/>
              <w:rPr>
                <w:sz w:val="20"/>
              </w:rPr>
            </w:pPr>
            <w:r w:rsidRPr="00336411">
              <w:rPr>
                <w:sz w:val="20"/>
              </w:rPr>
              <w:t>Personnes âgées : soins à domicile</w:t>
            </w:r>
          </w:p>
        </w:tc>
        <w:tc>
          <w:tcPr>
            <w:tcW w:w="5743" w:type="dxa"/>
          </w:tcPr>
          <w:p w:rsidR="00336411" w:rsidRPr="00336411" w:rsidRDefault="00336411" w:rsidP="000E5AC7">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36411">
              <w:rPr>
                <w:rFonts w:cs="Arial"/>
                <w:sz w:val="20"/>
                <w:szCs w:val="20"/>
              </w:rPr>
              <w:t>Services de soins à domicile et centres de jour pour personnes âgées. Localisé au siège du service.</w:t>
            </w:r>
          </w:p>
        </w:tc>
      </w:tr>
      <w:tr w:rsidR="00336411" w:rsidTr="00E16A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336411" w:rsidRPr="00336411" w:rsidRDefault="00336411" w:rsidP="00336411">
            <w:pPr>
              <w:jc w:val="left"/>
              <w:rPr>
                <w:sz w:val="20"/>
              </w:rPr>
            </w:pPr>
            <w:r w:rsidRPr="00336411">
              <w:rPr>
                <w:sz w:val="20"/>
              </w:rPr>
              <w:t>Personnes âgées : services d'aide</w:t>
            </w:r>
          </w:p>
        </w:tc>
        <w:tc>
          <w:tcPr>
            <w:tcW w:w="5743" w:type="dxa"/>
          </w:tcPr>
          <w:p w:rsidR="00336411" w:rsidRPr="00336411" w:rsidRDefault="00336411" w:rsidP="000E5AC7">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36411">
              <w:rPr>
                <w:rFonts w:cs="Arial"/>
                <w:sz w:val="20"/>
                <w:szCs w:val="20"/>
              </w:rPr>
              <w:t>Services d'aide-ménagère à domicile, alarme médico-sociale et services d'aide aux personnes âgées. Localisé au siège du service.</w:t>
            </w:r>
          </w:p>
        </w:tc>
      </w:tr>
      <w:tr w:rsidR="00336411" w:rsidTr="00E16A81">
        <w:tc>
          <w:tcPr>
            <w:cnfStyle w:val="001000000000" w:firstRow="0" w:lastRow="0" w:firstColumn="1" w:lastColumn="0" w:oddVBand="0" w:evenVBand="0" w:oddHBand="0" w:evenHBand="0" w:firstRowFirstColumn="0" w:firstRowLastColumn="0" w:lastRowFirstColumn="0" w:lastRowLastColumn="0"/>
            <w:tcW w:w="4219" w:type="dxa"/>
          </w:tcPr>
          <w:p w:rsidR="00336411" w:rsidRPr="00336411" w:rsidRDefault="00336411" w:rsidP="00336411">
            <w:pPr>
              <w:jc w:val="left"/>
              <w:rPr>
                <w:sz w:val="20"/>
              </w:rPr>
            </w:pPr>
            <w:r w:rsidRPr="00336411">
              <w:rPr>
                <w:sz w:val="20"/>
              </w:rPr>
              <w:t>Personnes âgées : foyer restaurant</w:t>
            </w:r>
          </w:p>
        </w:tc>
        <w:tc>
          <w:tcPr>
            <w:tcW w:w="5743" w:type="dxa"/>
          </w:tcPr>
          <w:p w:rsidR="00336411" w:rsidRPr="00336411" w:rsidRDefault="00336411" w:rsidP="000E5AC7">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36411">
              <w:rPr>
                <w:rFonts w:cs="Arial"/>
                <w:sz w:val="20"/>
                <w:szCs w:val="20"/>
              </w:rPr>
              <w:t>Foyer club restaurant.</w:t>
            </w:r>
          </w:p>
        </w:tc>
      </w:tr>
      <w:tr w:rsidR="00336411" w:rsidTr="00E16A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336411" w:rsidRPr="00336411" w:rsidRDefault="00336411" w:rsidP="00336411">
            <w:pPr>
              <w:jc w:val="left"/>
              <w:rPr>
                <w:sz w:val="20"/>
              </w:rPr>
            </w:pPr>
            <w:r w:rsidRPr="00336411">
              <w:rPr>
                <w:sz w:val="20"/>
              </w:rPr>
              <w:t>Personnes âgées : services de repas à domicile</w:t>
            </w:r>
          </w:p>
        </w:tc>
        <w:tc>
          <w:tcPr>
            <w:tcW w:w="5743" w:type="dxa"/>
          </w:tcPr>
          <w:p w:rsidR="00336411" w:rsidRPr="00336411" w:rsidRDefault="00336411" w:rsidP="000E5AC7">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36411">
              <w:rPr>
                <w:rFonts w:cs="Arial"/>
                <w:sz w:val="20"/>
                <w:szCs w:val="20"/>
              </w:rPr>
              <w:t>Localisé au siège du service</w:t>
            </w:r>
          </w:p>
        </w:tc>
      </w:tr>
      <w:tr w:rsidR="00336411" w:rsidTr="00E16A81">
        <w:tc>
          <w:tcPr>
            <w:cnfStyle w:val="001000000000" w:firstRow="0" w:lastRow="0" w:firstColumn="1" w:lastColumn="0" w:oddVBand="0" w:evenVBand="0" w:oddHBand="0" w:evenHBand="0" w:firstRowFirstColumn="0" w:firstRowLastColumn="0" w:lastRowFirstColumn="0" w:lastRowLastColumn="0"/>
            <w:tcW w:w="4219" w:type="dxa"/>
          </w:tcPr>
          <w:p w:rsidR="00336411" w:rsidRPr="00336411" w:rsidRDefault="00336411" w:rsidP="00336411">
            <w:pPr>
              <w:jc w:val="left"/>
              <w:rPr>
                <w:sz w:val="20"/>
              </w:rPr>
            </w:pPr>
            <w:r w:rsidRPr="00336411">
              <w:rPr>
                <w:sz w:val="20"/>
              </w:rPr>
              <w:t>Garde d'enfant d'âge préscolaire</w:t>
            </w:r>
          </w:p>
        </w:tc>
        <w:tc>
          <w:tcPr>
            <w:tcW w:w="5743" w:type="dxa"/>
          </w:tcPr>
          <w:p w:rsidR="00336411" w:rsidRPr="00336411" w:rsidRDefault="00336411" w:rsidP="000E5AC7">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36411">
              <w:rPr>
                <w:rFonts w:cs="Arial"/>
                <w:sz w:val="20"/>
                <w:szCs w:val="20"/>
              </w:rPr>
              <w:t>Crèches collectives ou parentales, halte-garderie y compris parentales, garderies et jardins d'enfants, établissement d'accueil collectif et/ou familial y compris parental.</w:t>
            </w:r>
          </w:p>
        </w:tc>
      </w:tr>
      <w:tr w:rsidR="00336411" w:rsidTr="00E16A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336411" w:rsidRPr="00336411" w:rsidRDefault="00336411" w:rsidP="00336411">
            <w:pPr>
              <w:jc w:val="left"/>
              <w:rPr>
                <w:sz w:val="20"/>
              </w:rPr>
            </w:pPr>
            <w:r w:rsidRPr="00336411">
              <w:rPr>
                <w:sz w:val="20"/>
              </w:rPr>
              <w:t>Enfants handicapés : hébergement</w:t>
            </w:r>
          </w:p>
        </w:tc>
        <w:tc>
          <w:tcPr>
            <w:tcW w:w="5743" w:type="dxa"/>
          </w:tcPr>
          <w:p w:rsidR="00336411" w:rsidRPr="00336411" w:rsidRDefault="00336411" w:rsidP="000E5AC7">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36411">
              <w:rPr>
                <w:rFonts w:cs="Arial"/>
                <w:sz w:val="20"/>
                <w:szCs w:val="20"/>
              </w:rPr>
              <w:t>Institut médico-éducatif, médico-pédagogique, médico-professionnel, jardin d'enfants spécialisé, institut de rééducation, établissement pour déficients moteurs et/ou cérébraux, visuels et/ou auditifs, centre d'accueil familial spécialisé et foyer d'hébergement.</w:t>
            </w:r>
          </w:p>
        </w:tc>
      </w:tr>
      <w:tr w:rsidR="00336411" w:rsidTr="00E16A81">
        <w:tc>
          <w:tcPr>
            <w:cnfStyle w:val="001000000000" w:firstRow="0" w:lastRow="0" w:firstColumn="1" w:lastColumn="0" w:oddVBand="0" w:evenVBand="0" w:oddHBand="0" w:evenHBand="0" w:firstRowFirstColumn="0" w:firstRowLastColumn="0" w:lastRowFirstColumn="0" w:lastRowLastColumn="0"/>
            <w:tcW w:w="4219" w:type="dxa"/>
          </w:tcPr>
          <w:p w:rsidR="00336411" w:rsidRPr="00336411" w:rsidRDefault="00336411" w:rsidP="00336411">
            <w:pPr>
              <w:jc w:val="left"/>
              <w:rPr>
                <w:sz w:val="20"/>
              </w:rPr>
            </w:pPr>
            <w:r w:rsidRPr="00336411">
              <w:rPr>
                <w:sz w:val="20"/>
              </w:rPr>
              <w:t>Enfants handicapés : services à domicile ou ambulatoires</w:t>
            </w:r>
          </w:p>
        </w:tc>
        <w:tc>
          <w:tcPr>
            <w:tcW w:w="5743" w:type="dxa"/>
          </w:tcPr>
          <w:p w:rsidR="00336411" w:rsidRPr="00336411" w:rsidRDefault="00336411" w:rsidP="000E5AC7">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36411">
              <w:rPr>
                <w:rFonts w:cs="Arial"/>
                <w:sz w:val="20"/>
                <w:szCs w:val="20"/>
              </w:rPr>
              <w:t>Service d'éducation spéciale et de soins à domicile, centre médico-psycho-pédagogique (CMPP), centre action médico-sociale précoce (CAMSP), bureau d'aide psychologique universitaire (BAPU)</w:t>
            </w:r>
          </w:p>
        </w:tc>
      </w:tr>
      <w:tr w:rsidR="00336411" w:rsidTr="00E16A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336411" w:rsidRPr="00336411" w:rsidRDefault="00336411" w:rsidP="00336411">
            <w:pPr>
              <w:jc w:val="left"/>
              <w:rPr>
                <w:sz w:val="20"/>
              </w:rPr>
            </w:pPr>
            <w:r w:rsidRPr="00336411">
              <w:rPr>
                <w:sz w:val="20"/>
              </w:rPr>
              <w:t>Adultes handicapés : hébergement</w:t>
            </w:r>
          </w:p>
        </w:tc>
        <w:tc>
          <w:tcPr>
            <w:tcW w:w="5743" w:type="dxa"/>
          </w:tcPr>
          <w:p w:rsidR="00336411" w:rsidRPr="00336411" w:rsidRDefault="00336411" w:rsidP="000E5AC7">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36411">
              <w:rPr>
                <w:rFonts w:cs="Arial"/>
                <w:sz w:val="20"/>
                <w:szCs w:val="20"/>
              </w:rPr>
              <w:t>Centre de placement familial, foyer d'hébergement, maison d’accueil spécialisée (MAS), foyer occupationnel, foyer d'accueil médicalisé (FAM)</w:t>
            </w:r>
          </w:p>
        </w:tc>
      </w:tr>
      <w:tr w:rsidR="00336411" w:rsidTr="00E16A81">
        <w:tc>
          <w:tcPr>
            <w:cnfStyle w:val="001000000000" w:firstRow="0" w:lastRow="0" w:firstColumn="1" w:lastColumn="0" w:oddVBand="0" w:evenVBand="0" w:oddHBand="0" w:evenHBand="0" w:firstRowFirstColumn="0" w:firstRowLastColumn="0" w:lastRowFirstColumn="0" w:lastRowLastColumn="0"/>
            <w:tcW w:w="4219" w:type="dxa"/>
          </w:tcPr>
          <w:p w:rsidR="00336411" w:rsidRPr="00336411" w:rsidRDefault="00336411" w:rsidP="00336411">
            <w:pPr>
              <w:jc w:val="left"/>
              <w:rPr>
                <w:sz w:val="20"/>
              </w:rPr>
            </w:pPr>
            <w:r w:rsidRPr="00336411">
              <w:rPr>
                <w:sz w:val="20"/>
              </w:rPr>
              <w:lastRenderedPageBreak/>
              <w:t>Adultes handicapés : services</w:t>
            </w:r>
          </w:p>
        </w:tc>
        <w:tc>
          <w:tcPr>
            <w:tcW w:w="5743" w:type="dxa"/>
          </w:tcPr>
          <w:p w:rsidR="00336411" w:rsidRPr="00336411" w:rsidRDefault="00336411" w:rsidP="000E5AC7">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36411">
              <w:rPr>
                <w:rFonts w:cs="Arial"/>
                <w:sz w:val="20"/>
                <w:szCs w:val="20"/>
              </w:rPr>
              <w:t>Centre de pré-orientation, de rééducation professionnelle, service auxiliaire de vie, service d'accompagnement à la vie sociale (SAVS)</w:t>
            </w:r>
          </w:p>
        </w:tc>
      </w:tr>
      <w:tr w:rsidR="00336411" w:rsidTr="00E16A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336411" w:rsidRPr="00336411" w:rsidRDefault="00336411" w:rsidP="00336411">
            <w:pPr>
              <w:jc w:val="left"/>
              <w:rPr>
                <w:sz w:val="20"/>
              </w:rPr>
            </w:pPr>
            <w:r w:rsidRPr="00336411">
              <w:rPr>
                <w:sz w:val="20"/>
              </w:rPr>
              <w:t>Travail protégé</w:t>
            </w:r>
          </w:p>
        </w:tc>
        <w:tc>
          <w:tcPr>
            <w:tcW w:w="5743" w:type="dxa"/>
          </w:tcPr>
          <w:p w:rsidR="00336411" w:rsidRPr="00336411" w:rsidRDefault="00336411" w:rsidP="000E5AC7">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36411">
              <w:rPr>
                <w:rFonts w:cs="Arial"/>
                <w:sz w:val="20"/>
                <w:szCs w:val="20"/>
              </w:rPr>
              <w:t>Centre d’aide par le travail (CAT) et atelier protégé.</w:t>
            </w:r>
          </w:p>
        </w:tc>
      </w:tr>
      <w:tr w:rsidR="00336411" w:rsidTr="00E16A81">
        <w:tc>
          <w:tcPr>
            <w:cnfStyle w:val="001000000000" w:firstRow="0" w:lastRow="0" w:firstColumn="1" w:lastColumn="0" w:oddVBand="0" w:evenVBand="0" w:oddHBand="0" w:evenHBand="0" w:firstRowFirstColumn="0" w:firstRowLastColumn="0" w:lastRowFirstColumn="0" w:lastRowLastColumn="0"/>
            <w:tcW w:w="4219" w:type="dxa"/>
          </w:tcPr>
          <w:p w:rsidR="00336411" w:rsidRPr="00336411" w:rsidRDefault="00336411" w:rsidP="00336411">
            <w:pPr>
              <w:jc w:val="left"/>
              <w:rPr>
                <w:sz w:val="20"/>
              </w:rPr>
            </w:pPr>
            <w:r w:rsidRPr="00336411">
              <w:rPr>
                <w:sz w:val="20"/>
              </w:rPr>
              <w:t>Aide sociale à l'enfance : hébergement</w:t>
            </w:r>
          </w:p>
        </w:tc>
        <w:tc>
          <w:tcPr>
            <w:tcW w:w="5743" w:type="dxa"/>
          </w:tcPr>
          <w:p w:rsidR="00336411" w:rsidRPr="00336411" w:rsidRDefault="00336411" w:rsidP="000E5AC7">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36411">
              <w:rPr>
                <w:rFonts w:cs="Arial"/>
                <w:sz w:val="20"/>
                <w:szCs w:val="20"/>
              </w:rPr>
              <w:t>Etablissement d'accueil mère-enfant, pouponnière à caractère social, foyer de l'enfance, village et maison d'enfants à caractère social, centre de placement familial socio-éducati</w:t>
            </w:r>
            <w:r w:rsidR="00E4789A">
              <w:rPr>
                <w:rFonts w:cs="Arial"/>
                <w:sz w:val="20"/>
                <w:szCs w:val="20"/>
              </w:rPr>
              <w:t>f. Tutelle des conseils départementaux</w:t>
            </w:r>
            <w:r w:rsidRPr="00336411">
              <w:rPr>
                <w:rFonts w:cs="Arial"/>
                <w:sz w:val="20"/>
                <w:szCs w:val="20"/>
              </w:rPr>
              <w:t xml:space="preserve">. </w:t>
            </w:r>
          </w:p>
        </w:tc>
      </w:tr>
      <w:tr w:rsidR="00336411" w:rsidTr="00E16A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336411" w:rsidRPr="00336411" w:rsidRDefault="00336411" w:rsidP="00336411">
            <w:pPr>
              <w:jc w:val="left"/>
              <w:rPr>
                <w:sz w:val="20"/>
              </w:rPr>
            </w:pPr>
            <w:r w:rsidRPr="00336411">
              <w:rPr>
                <w:sz w:val="20"/>
              </w:rPr>
              <w:t>Aide sociale à l'enfance : action éducative</w:t>
            </w:r>
          </w:p>
        </w:tc>
        <w:tc>
          <w:tcPr>
            <w:tcW w:w="5743" w:type="dxa"/>
          </w:tcPr>
          <w:p w:rsidR="00336411" w:rsidRPr="00336411" w:rsidRDefault="00336411" w:rsidP="000E5AC7">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36411">
              <w:rPr>
                <w:rFonts w:cs="Arial"/>
                <w:sz w:val="20"/>
                <w:szCs w:val="20"/>
              </w:rPr>
              <w:t>Foyer d'action éducative (FAE), service éducatif auprès des tribunaux (SEAT), centre d'action éducative (CAE), service d'action éducative en milieu ouvert (AEMO)</w:t>
            </w:r>
          </w:p>
        </w:tc>
      </w:tr>
      <w:tr w:rsidR="00336411" w:rsidTr="00E16A81">
        <w:tc>
          <w:tcPr>
            <w:cnfStyle w:val="001000000000" w:firstRow="0" w:lastRow="0" w:firstColumn="1" w:lastColumn="0" w:oddVBand="0" w:evenVBand="0" w:oddHBand="0" w:evenHBand="0" w:firstRowFirstColumn="0" w:firstRowLastColumn="0" w:lastRowFirstColumn="0" w:lastRowLastColumn="0"/>
            <w:tcW w:w="4219" w:type="dxa"/>
          </w:tcPr>
          <w:p w:rsidR="00336411" w:rsidRPr="00336411" w:rsidRDefault="00336411" w:rsidP="00336411">
            <w:pPr>
              <w:jc w:val="left"/>
              <w:rPr>
                <w:sz w:val="20"/>
              </w:rPr>
            </w:pPr>
            <w:r w:rsidRPr="00336411">
              <w:rPr>
                <w:sz w:val="20"/>
              </w:rPr>
              <w:t>CHRS : centre d'hébergement et de réadaptation sociale</w:t>
            </w:r>
          </w:p>
        </w:tc>
        <w:tc>
          <w:tcPr>
            <w:tcW w:w="5743" w:type="dxa"/>
          </w:tcPr>
          <w:p w:rsidR="00336411" w:rsidRPr="00336411" w:rsidRDefault="00D80B95" w:rsidP="000E5AC7">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t>
            </w:r>
          </w:p>
        </w:tc>
      </w:tr>
      <w:tr w:rsidR="00336411" w:rsidTr="00E16A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336411" w:rsidRPr="00336411" w:rsidRDefault="00336411" w:rsidP="00336411">
            <w:pPr>
              <w:jc w:val="left"/>
              <w:rPr>
                <w:sz w:val="20"/>
              </w:rPr>
            </w:pPr>
            <w:r w:rsidRPr="00336411">
              <w:rPr>
                <w:sz w:val="20"/>
              </w:rPr>
              <w:t>Centre provisoire d'hébergement</w:t>
            </w:r>
          </w:p>
        </w:tc>
        <w:tc>
          <w:tcPr>
            <w:tcW w:w="5743" w:type="dxa"/>
          </w:tcPr>
          <w:p w:rsidR="00336411" w:rsidRPr="00336411" w:rsidRDefault="00D80B95" w:rsidP="000E5AC7">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w:t>
            </w:r>
          </w:p>
        </w:tc>
      </w:tr>
      <w:tr w:rsidR="00336411" w:rsidTr="00E16A81">
        <w:tc>
          <w:tcPr>
            <w:cnfStyle w:val="001000000000" w:firstRow="0" w:lastRow="0" w:firstColumn="1" w:lastColumn="0" w:oddVBand="0" w:evenVBand="0" w:oddHBand="0" w:evenHBand="0" w:firstRowFirstColumn="0" w:firstRowLastColumn="0" w:lastRowFirstColumn="0" w:lastRowLastColumn="0"/>
            <w:tcW w:w="4219" w:type="dxa"/>
          </w:tcPr>
          <w:p w:rsidR="00336411" w:rsidRPr="00336411" w:rsidRDefault="00336411" w:rsidP="00336411">
            <w:pPr>
              <w:jc w:val="left"/>
              <w:rPr>
                <w:sz w:val="20"/>
              </w:rPr>
            </w:pPr>
            <w:r w:rsidRPr="00336411">
              <w:rPr>
                <w:sz w:val="20"/>
              </w:rPr>
              <w:t>Centre accueil demandeur d'asile</w:t>
            </w:r>
          </w:p>
        </w:tc>
        <w:tc>
          <w:tcPr>
            <w:tcW w:w="5743" w:type="dxa"/>
          </w:tcPr>
          <w:p w:rsidR="00336411" w:rsidRPr="00336411" w:rsidRDefault="00D80B95" w:rsidP="000E5AC7">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t>
            </w:r>
          </w:p>
        </w:tc>
      </w:tr>
      <w:tr w:rsidR="00336411" w:rsidTr="00E16A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336411" w:rsidRPr="00336411" w:rsidRDefault="00336411" w:rsidP="00336411">
            <w:pPr>
              <w:jc w:val="left"/>
              <w:rPr>
                <w:sz w:val="20"/>
              </w:rPr>
            </w:pPr>
            <w:r w:rsidRPr="00336411">
              <w:rPr>
                <w:sz w:val="20"/>
              </w:rPr>
              <w:t>Autres établissements pour adultes et familles en difficulté</w:t>
            </w:r>
          </w:p>
        </w:tc>
        <w:tc>
          <w:tcPr>
            <w:tcW w:w="5743" w:type="dxa"/>
          </w:tcPr>
          <w:p w:rsidR="00336411" w:rsidRPr="00336411" w:rsidRDefault="00336411" w:rsidP="000E5AC7">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36411">
              <w:rPr>
                <w:rFonts w:cs="Arial"/>
                <w:sz w:val="20"/>
                <w:szCs w:val="20"/>
              </w:rPr>
              <w:t xml:space="preserve">Aire de stationnement pour nomades, foyer d'hébergement de travailleurs migrants, foyer de jeunes travailleurs, hébergement des familles de malades, logement-foyer non-spécialiste. </w:t>
            </w:r>
          </w:p>
        </w:tc>
      </w:tr>
    </w:tbl>
    <w:p w:rsidR="00503147" w:rsidRDefault="00503147" w:rsidP="000E5AC7"/>
    <w:p w:rsidR="00502F8C" w:rsidRDefault="00E4789A" w:rsidP="00502F8C">
      <w:pPr>
        <w:rPr>
          <w:rFonts w:asciiTheme="majorHAnsi" w:eastAsia="Arial" w:hAnsiTheme="majorHAnsi" w:cs="Arial"/>
          <w:b/>
          <w:color w:val="000000"/>
          <w:sz w:val="28"/>
          <w:szCs w:val="24"/>
          <w:lang w:eastAsia="fr-FR"/>
        </w:rPr>
      </w:pPr>
      <w:r>
        <w:rPr>
          <w:rFonts w:asciiTheme="majorHAnsi" w:eastAsia="Arial" w:hAnsiTheme="majorHAnsi" w:cs="Arial"/>
          <w:b/>
          <w:color w:val="000000"/>
          <w:sz w:val="28"/>
          <w:szCs w:val="24"/>
          <w:lang w:eastAsia="fr-FR"/>
        </w:rPr>
        <w:t xml:space="preserve">Proposition d’analyse et de rédaction </w:t>
      </w:r>
    </w:p>
    <w:p w:rsidR="00975973" w:rsidRDefault="00975973" w:rsidP="00502F8C">
      <w:pPr>
        <w:rPr>
          <w:lang w:eastAsia="fr-FR"/>
        </w:rPr>
      </w:pPr>
      <w:r>
        <w:rPr>
          <w:lang w:eastAsia="fr-FR"/>
        </w:rPr>
        <w:t xml:space="preserve">L’action sociale est une thématique qui prend en compte beaucoup d’équipements différents, c’est pourquoi il peut être intéressant de débuter la </w:t>
      </w:r>
      <w:r w:rsidR="000A42A9">
        <w:rPr>
          <w:lang w:eastAsia="fr-FR"/>
        </w:rPr>
        <w:t xml:space="preserve">rédaction de la partie par une définition de l’action sociale ainsi que de la population concernée : </w:t>
      </w:r>
    </w:p>
    <w:p w:rsidR="00502F8C" w:rsidRPr="00502F8C" w:rsidRDefault="00502F8C" w:rsidP="00502F8C">
      <w:pPr>
        <w:rPr>
          <w:i/>
          <w:sz w:val="20"/>
        </w:rPr>
      </w:pPr>
      <w:r w:rsidRPr="00502F8C">
        <w:rPr>
          <w:i/>
          <w:sz w:val="20"/>
        </w:rPr>
        <w:t xml:space="preserve">L’action sociale est définie par l’article L. 116-1 du Code de l’action sociale et des familles : </w:t>
      </w:r>
    </w:p>
    <w:p w:rsidR="00502F8C" w:rsidRPr="00502F8C" w:rsidRDefault="00502F8C" w:rsidP="00502F8C">
      <w:pPr>
        <w:rPr>
          <w:i/>
          <w:sz w:val="20"/>
        </w:rPr>
      </w:pPr>
      <w:r w:rsidRPr="00502F8C">
        <w:rPr>
          <w:i/>
          <w:sz w:val="20"/>
        </w:rPr>
        <w:t xml:space="preserve">« L’action sociale et médico-sociale tend à promouvoir, dans un cadre interministériel, l’autonomie et la protection des personnes, la cohésion sociale, l’exercice de la citoyenneté, à prévenir les exclusions et à en corriger les effets. » </w:t>
      </w:r>
    </w:p>
    <w:p w:rsidR="00502F8C" w:rsidRDefault="00502F8C" w:rsidP="00502F8C">
      <w:pPr>
        <w:rPr>
          <w:i/>
          <w:sz w:val="20"/>
        </w:rPr>
      </w:pPr>
      <w:r w:rsidRPr="00502F8C">
        <w:rPr>
          <w:i/>
          <w:sz w:val="20"/>
        </w:rPr>
        <w:t xml:space="preserve">Elle est en faveur des personnes handicapées et des personnes âgées, des personnes et des familles vulnérables, en situation de précarité ou de pauvreté. Les équipements et services associés concernent les établissements d’hébergement pour ces personnes, les établissements d’hébergement et d’éducation pour les enfants en situation de handicap, les services de soins et d’aide, le travail protégé, l’aide sociale à l’enfance, centre d’hébergement et de réadaptation sociale, centre d’accueil pour demandeur d’asile, etc. </w:t>
      </w:r>
    </w:p>
    <w:p w:rsidR="00E47F56" w:rsidRDefault="00E47F56" w:rsidP="00502F8C">
      <w:pPr>
        <w:rPr>
          <w:sz w:val="20"/>
        </w:rPr>
      </w:pPr>
    </w:p>
    <w:p w:rsidR="00E4789A" w:rsidRDefault="00E4789A" w:rsidP="00502F8C">
      <w:pPr>
        <w:rPr>
          <w:sz w:val="20"/>
        </w:rPr>
      </w:pPr>
      <w:r>
        <w:rPr>
          <w:sz w:val="20"/>
        </w:rPr>
        <w:t xml:space="preserve">Le diagnostic est plus axé sur les établissements que sur le service en lui-même. Toutes les communes n’ont pas d’équipements d’action sociale mais la plupart ont des services de proximité communaux : </w:t>
      </w:r>
    </w:p>
    <w:p w:rsidR="005E0DA2" w:rsidRPr="00E47F56" w:rsidRDefault="005E0DA2" w:rsidP="005E0DA2">
      <w:pPr>
        <w:pStyle w:val="Paragraphedeliste"/>
        <w:numPr>
          <w:ilvl w:val="0"/>
          <w:numId w:val="14"/>
        </w:numPr>
        <w:rPr>
          <w:b/>
          <w:sz w:val="20"/>
        </w:rPr>
      </w:pPr>
      <w:r w:rsidRPr="00E47F56">
        <w:rPr>
          <w:b/>
          <w:sz w:val="20"/>
        </w:rPr>
        <w:t xml:space="preserve">Les services d’action sociale de proximité, à destination de toute personne en difficulté </w:t>
      </w:r>
    </w:p>
    <w:p w:rsidR="00E47F56" w:rsidRDefault="00E47F56" w:rsidP="005E0DA2">
      <w:pPr>
        <w:rPr>
          <w:sz w:val="20"/>
        </w:rPr>
      </w:pPr>
      <w:r>
        <w:rPr>
          <w:sz w:val="20"/>
        </w:rPr>
        <w:t xml:space="preserve">Une majeure partie des communes dispose d’un </w:t>
      </w:r>
      <w:r w:rsidRPr="00652F37">
        <w:rPr>
          <w:b/>
          <w:sz w:val="20"/>
        </w:rPr>
        <w:t xml:space="preserve">CCAS </w:t>
      </w:r>
      <w:r>
        <w:rPr>
          <w:sz w:val="20"/>
        </w:rPr>
        <w:t>(Centre Communal d’Action Sociale, ou Centre Intercommunal). Ils ont une mission de solidarité, d’aide et de soutien aux personnes défavorisées. Présidé par le maire de la commune, il représente l’institution locale d’action sociale. Le CCAS a plusieurs fonctions</w:t>
      </w:r>
      <w:r>
        <w:rPr>
          <w:rStyle w:val="Appelnotedebasdep"/>
          <w:sz w:val="20"/>
        </w:rPr>
        <w:footnoteReference w:id="1"/>
      </w:r>
      <w:r>
        <w:rPr>
          <w:sz w:val="20"/>
        </w:rPr>
        <w:t xml:space="preserve"> : </w:t>
      </w:r>
    </w:p>
    <w:p w:rsidR="00E47F56" w:rsidRDefault="00E47F56" w:rsidP="00E47F56">
      <w:pPr>
        <w:pStyle w:val="Paragraphedeliste"/>
        <w:numPr>
          <w:ilvl w:val="0"/>
          <w:numId w:val="15"/>
        </w:numPr>
        <w:rPr>
          <w:sz w:val="20"/>
        </w:rPr>
      </w:pPr>
      <w:r>
        <w:rPr>
          <w:sz w:val="20"/>
        </w:rPr>
        <w:lastRenderedPageBreak/>
        <w:t xml:space="preserve">La gestion des équipements et des services d’action sociale : crèche communale, établissement d’hébergement des personnes âgées, centres, sociaux, centres aérés, établissement pour personnes en situation de handicap, etc. </w:t>
      </w:r>
    </w:p>
    <w:p w:rsidR="00E47F56" w:rsidRDefault="00E47F56" w:rsidP="00E47F56">
      <w:pPr>
        <w:pStyle w:val="Paragraphedeliste"/>
        <w:numPr>
          <w:ilvl w:val="0"/>
          <w:numId w:val="15"/>
        </w:numPr>
        <w:rPr>
          <w:sz w:val="20"/>
        </w:rPr>
      </w:pPr>
      <w:r>
        <w:rPr>
          <w:sz w:val="20"/>
        </w:rPr>
        <w:t>Le soutien technique et financier aux actions sociales d’intérêt communal gérées par le secteur privé,</w:t>
      </w:r>
    </w:p>
    <w:p w:rsidR="00E47F56" w:rsidRDefault="00E47F56" w:rsidP="00E47F56">
      <w:pPr>
        <w:pStyle w:val="Paragraphedeliste"/>
        <w:numPr>
          <w:ilvl w:val="0"/>
          <w:numId w:val="15"/>
        </w:numPr>
        <w:rPr>
          <w:sz w:val="20"/>
        </w:rPr>
      </w:pPr>
      <w:r>
        <w:rPr>
          <w:sz w:val="20"/>
        </w:rPr>
        <w:t xml:space="preserve">La participation à l’instruction des demandes d’aide sociale légale et les transmets aux autorités décisionnelles compétentes (Conseil Départemental, Préfecture, etc.), </w:t>
      </w:r>
    </w:p>
    <w:p w:rsidR="00E47F56" w:rsidRPr="00E47F56" w:rsidRDefault="00E47F56" w:rsidP="00E47F56">
      <w:pPr>
        <w:pStyle w:val="Paragraphedeliste"/>
        <w:numPr>
          <w:ilvl w:val="0"/>
          <w:numId w:val="15"/>
        </w:numPr>
        <w:rPr>
          <w:sz w:val="20"/>
        </w:rPr>
      </w:pPr>
      <w:r>
        <w:rPr>
          <w:sz w:val="20"/>
        </w:rPr>
        <w:t>Une aide sociale facultative en fonction de la politique sociale communale : colis alimentaire, secours d’urgence, prêt sans intérêt, etc.</w:t>
      </w:r>
    </w:p>
    <w:p w:rsidR="005E0DA2" w:rsidRPr="005E0DA2" w:rsidRDefault="005E0DA2" w:rsidP="005E0DA2">
      <w:pPr>
        <w:rPr>
          <w:sz w:val="20"/>
        </w:rPr>
      </w:pPr>
      <w:r w:rsidRPr="00652F37">
        <w:rPr>
          <w:sz w:val="20"/>
        </w:rPr>
        <w:t>Les</w:t>
      </w:r>
      <w:r w:rsidRPr="005E0DA2">
        <w:rPr>
          <w:b/>
          <w:sz w:val="20"/>
        </w:rPr>
        <w:t xml:space="preserve"> points d’accueil solidarité </w:t>
      </w:r>
      <w:r w:rsidRPr="00652F37">
        <w:rPr>
          <w:sz w:val="20"/>
        </w:rPr>
        <w:t>du Conseil Départemental (PAS)</w:t>
      </w:r>
      <w:r>
        <w:rPr>
          <w:sz w:val="20"/>
        </w:rPr>
        <w:t xml:space="preserve"> ont un rôle d’écoute d’aide et de conseil pour les personnes en difficultés du Territoire de Belfort. Service de proximité, ils sont répartis dans tout le territoire.</w:t>
      </w:r>
    </w:p>
    <w:p w:rsidR="00602199" w:rsidRPr="00A11D6A" w:rsidRDefault="00602199" w:rsidP="00602199">
      <w:pPr>
        <w:rPr>
          <w:sz w:val="20"/>
        </w:rPr>
      </w:pPr>
    </w:p>
    <w:p w:rsidR="00503147" w:rsidRPr="00602199" w:rsidRDefault="00AD1415" w:rsidP="00602199">
      <w:pPr>
        <w:rPr>
          <w:rFonts w:asciiTheme="majorHAnsi" w:eastAsia="Arial" w:hAnsiTheme="majorHAnsi" w:cs="Arial"/>
          <w:b/>
          <w:color w:val="000000"/>
          <w:sz w:val="28"/>
          <w:szCs w:val="24"/>
          <w:lang w:eastAsia="fr-FR"/>
        </w:rPr>
      </w:pPr>
      <w:r w:rsidRPr="00602199">
        <w:rPr>
          <w:rFonts w:asciiTheme="majorHAnsi" w:eastAsia="Arial" w:hAnsiTheme="majorHAnsi" w:cs="Arial"/>
          <w:b/>
          <w:color w:val="000000"/>
          <w:sz w:val="28"/>
          <w:szCs w:val="24"/>
          <w:lang w:eastAsia="fr-FR"/>
        </w:rPr>
        <w:t>Documents cadre</w:t>
      </w:r>
    </w:p>
    <w:p w:rsidR="00D86825" w:rsidRDefault="00503147" w:rsidP="000E5AC7">
      <w:r w:rsidRPr="00602199">
        <w:rPr>
          <w:lang w:eastAsia="fr-FR"/>
        </w:rPr>
        <w:t>Le Conseil Départemental</w:t>
      </w:r>
      <w:r w:rsidR="00066CAA">
        <w:t xml:space="preserve"> a élaboré deux</w:t>
      </w:r>
      <w:r w:rsidR="00D86825">
        <w:t xml:space="preserve"> schémas départementaux « d’organisation sociale et médico-sociale 2012-2016</w:t>
      </w:r>
      <w:r>
        <w:t> »</w:t>
      </w:r>
      <w:r w:rsidR="00D86825">
        <w:t xml:space="preserve"> de façon conco</w:t>
      </w:r>
      <w:r>
        <w:t>mitante et articulés entre eux</w:t>
      </w:r>
      <w:r w:rsidR="00D86825">
        <w:t>. Ils sont également en accord avec les Schémas régionaux de l’Agence Régionale de Santé</w:t>
      </w:r>
      <w:r>
        <w:t xml:space="preserve"> (ARS)</w:t>
      </w:r>
      <w:r w:rsidR="00D86825">
        <w:t xml:space="preserve"> Franche-Co</w:t>
      </w:r>
      <w:r>
        <w:t>mté. Le Conseil Départemental</w:t>
      </w:r>
      <w:r w:rsidR="00D86825">
        <w:t xml:space="preserve"> relaye auprès de l’ARS un état des lieux le plus précis possible et les besoins spécifiques du département.</w:t>
      </w:r>
      <w:r w:rsidR="00B61D13">
        <w:t xml:space="preserve"> Les trois schémas ont une trame commune</w:t>
      </w:r>
      <w:r w:rsidR="001457EF">
        <w:t xml:space="preserve"> : </w:t>
      </w:r>
    </w:p>
    <w:p w:rsidR="001457EF" w:rsidRDefault="00A11D6A" w:rsidP="001457EF">
      <w:pPr>
        <w:pStyle w:val="Paragraphedeliste"/>
        <w:numPr>
          <w:ilvl w:val="0"/>
          <w:numId w:val="3"/>
        </w:numPr>
      </w:pPr>
      <w:r>
        <w:t>Un d</w:t>
      </w:r>
      <w:r w:rsidR="001457EF">
        <w:t>iagnostic thématique</w:t>
      </w:r>
    </w:p>
    <w:p w:rsidR="001457EF" w:rsidRDefault="00A11D6A" w:rsidP="001457EF">
      <w:pPr>
        <w:pStyle w:val="Paragraphedeliste"/>
        <w:numPr>
          <w:ilvl w:val="0"/>
          <w:numId w:val="3"/>
        </w:numPr>
      </w:pPr>
      <w:r>
        <w:t>Une p</w:t>
      </w:r>
      <w:r w:rsidR="001457EF">
        <w:t>résentation des principaux acteurs</w:t>
      </w:r>
    </w:p>
    <w:p w:rsidR="001457EF" w:rsidRDefault="00A11D6A" w:rsidP="001457EF">
      <w:pPr>
        <w:pStyle w:val="Paragraphedeliste"/>
        <w:numPr>
          <w:ilvl w:val="0"/>
          <w:numId w:val="3"/>
        </w:numPr>
      </w:pPr>
      <w:r>
        <w:t>Un b</w:t>
      </w:r>
      <w:r w:rsidR="001457EF">
        <w:t>ilan partagé du précédent schéma</w:t>
      </w:r>
    </w:p>
    <w:p w:rsidR="001457EF" w:rsidRDefault="00A11D6A" w:rsidP="001457EF">
      <w:pPr>
        <w:pStyle w:val="Paragraphedeliste"/>
        <w:numPr>
          <w:ilvl w:val="0"/>
          <w:numId w:val="3"/>
        </w:numPr>
      </w:pPr>
      <w:r>
        <w:t>Des o</w:t>
      </w:r>
      <w:r w:rsidR="001457EF">
        <w:t>rientations 2012-2016 transversales et spécifiques</w:t>
      </w:r>
    </w:p>
    <w:p w:rsidR="00B61D13" w:rsidRDefault="00A11D6A" w:rsidP="00B61D13">
      <w:pPr>
        <w:pStyle w:val="Paragraphedeliste"/>
        <w:numPr>
          <w:ilvl w:val="0"/>
          <w:numId w:val="3"/>
        </w:numPr>
      </w:pPr>
      <w:r>
        <w:t>Des f</w:t>
      </w:r>
      <w:r w:rsidR="001457EF">
        <w:t>iches actions</w:t>
      </w:r>
    </w:p>
    <w:p w:rsidR="00A11D6A" w:rsidRDefault="00A11D6A" w:rsidP="00A11D6A">
      <w:pPr>
        <w:rPr>
          <w:rFonts w:asciiTheme="majorHAnsi" w:hAnsiTheme="majorHAnsi"/>
          <w:b/>
        </w:rPr>
      </w:pPr>
    </w:p>
    <w:p w:rsidR="000E5AC7" w:rsidRPr="00A11D6A" w:rsidRDefault="00A11D6A" w:rsidP="00A11D6A">
      <w:pPr>
        <w:rPr>
          <w:rFonts w:asciiTheme="majorHAnsi" w:hAnsiTheme="majorHAnsi"/>
          <w:b/>
        </w:rPr>
      </w:pPr>
      <w:r w:rsidRPr="00A11D6A">
        <w:rPr>
          <w:rFonts w:asciiTheme="majorHAnsi" w:hAnsiTheme="majorHAnsi"/>
          <w:b/>
        </w:rPr>
        <w:t xml:space="preserve">Premier document : </w:t>
      </w:r>
      <w:r w:rsidRPr="00A11D6A">
        <w:rPr>
          <w:rFonts w:asciiTheme="majorHAnsi" w:eastAsia="Arial" w:hAnsiTheme="majorHAnsi" w:cs="Arial"/>
          <w:b/>
          <w:bCs/>
          <w:color w:val="000000"/>
          <w:szCs w:val="24"/>
          <w:lang w:eastAsia="fr-FR"/>
        </w:rPr>
        <w:t>Schéma départemental du Territoire de Belfort : Personnes retraitées et âgées</w:t>
      </w:r>
    </w:p>
    <w:p w:rsidR="000E5AC7" w:rsidRPr="00A11D6A" w:rsidRDefault="000E5AC7" w:rsidP="000E5AC7">
      <w:r w:rsidRPr="00A11D6A">
        <w:rPr>
          <w:u w:val="single"/>
        </w:rPr>
        <w:t>Date</w:t>
      </w:r>
      <w:r w:rsidR="006F76E4" w:rsidRPr="00A11D6A">
        <w:rPr>
          <w:u w:val="single"/>
        </w:rPr>
        <w:t xml:space="preserve"> en vigueur</w:t>
      </w:r>
      <w:r w:rsidRPr="00A11D6A">
        <w:t xml:space="preserve"> : 2012 </w:t>
      </w:r>
      <w:r w:rsidR="006F76E4" w:rsidRPr="00A11D6A">
        <w:t>à 2016, Source : Conseil Départemental</w:t>
      </w:r>
    </w:p>
    <w:p w:rsidR="00D97702" w:rsidRDefault="00D97702" w:rsidP="00A11D6A">
      <w:pPr>
        <w:spacing w:before="0"/>
      </w:pPr>
      <w:r w:rsidRPr="00A11D6A">
        <w:rPr>
          <w:u w:val="single"/>
        </w:rPr>
        <w:t>Population visée</w:t>
      </w:r>
      <w:r w:rsidRPr="00A11D6A">
        <w:t> :</w:t>
      </w:r>
      <w:r>
        <w:t xml:space="preserve"> Personnes retraitées et âgées, en baisse d’autonomie, dépendantes ou handicapées. </w:t>
      </w:r>
    </w:p>
    <w:p w:rsidR="00B4756B" w:rsidRDefault="00B4756B" w:rsidP="00B4756B">
      <w:r>
        <w:t xml:space="preserve">Le schéma propose un diagnostic à l’échelle du département sur la population des personnes âgées (démographie, évolution, dépendance, aides, pauvreté/précarité…) et la capacité de prise en charge. </w:t>
      </w:r>
      <w:r w:rsidR="00E16A81">
        <w:t xml:space="preserve">Il inventorie les équipements sociaux ou médico-sociaux </w:t>
      </w:r>
      <w:r w:rsidR="00C00293">
        <w:t>œuvrant</w:t>
      </w:r>
      <w:r w:rsidR="00E16A81">
        <w:t xml:space="preserve"> dans le champ de l</w:t>
      </w:r>
      <w:r w:rsidR="00C00293">
        <w:t xml:space="preserve">’action sociale </w:t>
      </w:r>
      <w:r w:rsidR="00E16A81">
        <w:t xml:space="preserve">: </w:t>
      </w:r>
    </w:p>
    <w:p w:rsidR="00E16A81" w:rsidRDefault="00E16A81" w:rsidP="00E16A81">
      <w:pPr>
        <w:pStyle w:val="Paragraphedeliste"/>
        <w:numPr>
          <w:ilvl w:val="0"/>
          <w:numId w:val="3"/>
        </w:numPr>
      </w:pPr>
      <w:r>
        <w:t>Maison de l’autonomie du Territoire de Belfort (Belfort)</w:t>
      </w:r>
    </w:p>
    <w:p w:rsidR="00E16A81" w:rsidRDefault="00E16A81" w:rsidP="00E16A81">
      <w:pPr>
        <w:pStyle w:val="Paragraphedeliste"/>
        <w:numPr>
          <w:ilvl w:val="0"/>
          <w:numId w:val="3"/>
        </w:numPr>
      </w:pPr>
      <w:r>
        <w:t>Office pour les aînés de Belfort et du Territoire (Belfort)</w:t>
      </w:r>
    </w:p>
    <w:p w:rsidR="00E16A81" w:rsidRDefault="00E16A81" w:rsidP="00E16A81">
      <w:pPr>
        <w:pStyle w:val="Paragraphedeliste"/>
        <w:numPr>
          <w:ilvl w:val="0"/>
          <w:numId w:val="3"/>
        </w:numPr>
      </w:pPr>
      <w:r>
        <w:t>CCAS (présent dans quasiment toutes les communes)</w:t>
      </w:r>
    </w:p>
    <w:p w:rsidR="00E16A81" w:rsidRDefault="00E16A81" w:rsidP="00E16A81">
      <w:pPr>
        <w:pStyle w:val="Paragraphedeliste"/>
        <w:numPr>
          <w:ilvl w:val="0"/>
          <w:numId w:val="3"/>
        </w:numPr>
      </w:pPr>
      <w:r>
        <w:t>EHPAD</w:t>
      </w:r>
    </w:p>
    <w:p w:rsidR="00E16A81" w:rsidRDefault="00E16A81" w:rsidP="00E16A81">
      <w:pPr>
        <w:pStyle w:val="Paragraphedeliste"/>
        <w:numPr>
          <w:ilvl w:val="0"/>
          <w:numId w:val="3"/>
        </w:numPr>
      </w:pPr>
      <w:r>
        <w:t>Services d’aide à domicile : 8 services couvrent le département en 2011 pour environ 1900 personnes âgées en perte d’autonomie dont les SSIAD (services de soins infirmier</w:t>
      </w:r>
      <w:r w:rsidR="00066CAA">
        <w:t>s</w:t>
      </w:r>
      <w:r>
        <w:t xml:space="preserve"> à domicile) qui dispose de 265 places dédiées aux personnes âgées. </w:t>
      </w:r>
    </w:p>
    <w:p w:rsidR="00C00293" w:rsidRDefault="00E16A81" w:rsidP="00C00293">
      <w:pPr>
        <w:pStyle w:val="Paragraphedeliste"/>
        <w:numPr>
          <w:ilvl w:val="0"/>
          <w:numId w:val="3"/>
        </w:numPr>
      </w:pPr>
      <w:r>
        <w:t xml:space="preserve">Résidences séniors (maisons – logement – non médicalisé). </w:t>
      </w:r>
    </w:p>
    <w:p w:rsidR="00C00293" w:rsidRDefault="00C00293" w:rsidP="00C00293">
      <w:pPr>
        <w:pStyle w:val="Paragraphedeliste"/>
        <w:numPr>
          <w:ilvl w:val="0"/>
          <w:numId w:val="3"/>
        </w:numPr>
      </w:pPr>
      <w:r>
        <w:t>Structures participant à l’accompagnement, la prise en charge et au soin des personnes en perte d’autonomie: GIE IMPA, SAD,</w:t>
      </w:r>
    </w:p>
    <w:p w:rsidR="00E16A81" w:rsidRDefault="00B83BE5" w:rsidP="00B4756B">
      <w:pPr>
        <w:pStyle w:val="Paragraphedeliste"/>
        <w:numPr>
          <w:ilvl w:val="0"/>
          <w:numId w:val="3"/>
        </w:numPr>
      </w:pPr>
      <w:r>
        <w:t>Hôpitaux psychiatrique</w:t>
      </w:r>
    </w:p>
    <w:p w:rsidR="00E16A81" w:rsidRPr="00E16A81" w:rsidRDefault="000C4796" w:rsidP="00E16A81">
      <w:r>
        <w:lastRenderedPageBreak/>
        <w:t xml:space="preserve">D’après ce schéma, le </w:t>
      </w:r>
      <w:proofErr w:type="spellStart"/>
      <w:r>
        <w:t>TdB</w:t>
      </w:r>
      <w:proofErr w:type="spellEnd"/>
      <w:r>
        <w:t xml:space="preserve"> se classe comme étant un des départements ayant un taux d’équipements supérieur à la moyenne métropolitaine : 118,9 places pour 1000 personnes de 75 ans et plus. </w:t>
      </w:r>
      <w:r w:rsidR="004D2DF9">
        <w:t xml:space="preserve">Il informe sur différentes données à l’échelle départementale : </w:t>
      </w:r>
    </w:p>
    <w:p w:rsidR="00345A50" w:rsidRPr="004D2DF9" w:rsidRDefault="00345A50" w:rsidP="00E16A81">
      <w:pPr>
        <w:spacing w:after="120"/>
        <w:jc w:val="left"/>
        <w:rPr>
          <w:u w:val="single"/>
        </w:rPr>
      </w:pPr>
      <w:r w:rsidRPr="004D2DF9">
        <w:rPr>
          <w:u w:val="single"/>
        </w:rPr>
        <w:t>Taux d’équipement du Territoire de Belfort</w:t>
      </w:r>
    </w:p>
    <w:tbl>
      <w:tblPr>
        <w:tblStyle w:val="Listeclaire-Accent1"/>
        <w:tblW w:w="9322" w:type="dxa"/>
        <w:tblLook w:val="04A0" w:firstRow="1" w:lastRow="0" w:firstColumn="1" w:lastColumn="0" w:noHBand="0" w:noVBand="1"/>
      </w:tblPr>
      <w:tblGrid>
        <w:gridCol w:w="3085"/>
        <w:gridCol w:w="2127"/>
        <w:gridCol w:w="2268"/>
        <w:gridCol w:w="1842"/>
      </w:tblGrid>
      <w:tr w:rsidR="00345A50" w:rsidTr="004D2D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rsidR="00345A50" w:rsidRDefault="00345A50" w:rsidP="00345A50"/>
        </w:tc>
        <w:tc>
          <w:tcPr>
            <w:tcW w:w="2127" w:type="dxa"/>
          </w:tcPr>
          <w:p w:rsidR="00345A50" w:rsidRDefault="00345A50" w:rsidP="00753549">
            <w:pPr>
              <w:jc w:val="center"/>
              <w:cnfStyle w:val="100000000000" w:firstRow="1" w:lastRow="0" w:firstColumn="0" w:lastColumn="0" w:oddVBand="0" w:evenVBand="0" w:oddHBand="0" w:evenHBand="0" w:firstRowFirstColumn="0" w:firstRowLastColumn="0" w:lastRowFirstColumn="0" w:lastRowLastColumn="0"/>
            </w:pPr>
            <w:r>
              <w:t>Territoire de Belfort</w:t>
            </w:r>
          </w:p>
        </w:tc>
        <w:tc>
          <w:tcPr>
            <w:tcW w:w="2268" w:type="dxa"/>
          </w:tcPr>
          <w:p w:rsidR="00345A50" w:rsidRDefault="00345A50" w:rsidP="00753549">
            <w:pPr>
              <w:ind w:left="72" w:hanging="72"/>
              <w:jc w:val="center"/>
              <w:cnfStyle w:val="100000000000" w:firstRow="1" w:lastRow="0" w:firstColumn="0" w:lastColumn="0" w:oddVBand="0" w:evenVBand="0" w:oddHBand="0" w:evenHBand="0" w:firstRowFirstColumn="0" w:firstRowLastColumn="0" w:lastRowFirstColumn="0" w:lastRowLastColumn="0"/>
            </w:pPr>
            <w:r>
              <w:t>Franche-Comté</w:t>
            </w:r>
          </w:p>
        </w:tc>
        <w:tc>
          <w:tcPr>
            <w:tcW w:w="1842" w:type="dxa"/>
          </w:tcPr>
          <w:p w:rsidR="00345A50" w:rsidRDefault="00345A50" w:rsidP="00753549">
            <w:pPr>
              <w:jc w:val="center"/>
              <w:cnfStyle w:val="100000000000" w:firstRow="1" w:lastRow="0" w:firstColumn="0" w:lastColumn="0" w:oddVBand="0" w:evenVBand="0" w:oddHBand="0" w:evenHBand="0" w:firstRowFirstColumn="0" w:firstRowLastColumn="0" w:lastRowFirstColumn="0" w:lastRowLastColumn="0"/>
            </w:pPr>
            <w:r>
              <w:t>France Métropolitaine</w:t>
            </w:r>
          </w:p>
        </w:tc>
      </w:tr>
      <w:tr w:rsidR="00345A50" w:rsidTr="004D2D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rsidR="00345A50" w:rsidRDefault="00345A50" w:rsidP="00753549">
            <w:r w:rsidRPr="00345A50">
              <w:t>Taux d’équipement* en lits médicalisés (lits d’EHPAD, lits de soins de longue durée</w:t>
            </w:r>
          </w:p>
        </w:tc>
        <w:tc>
          <w:tcPr>
            <w:tcW w:w="2127" w:type="dxa"/>
          </w:tcPr>
          <w:p w:rsidR="00345A50" w:rsidRDefault="00753549" w:rsidP="00753549">
            <w:pPr>
              <w:jc w:val="center"/>
              <w:cnfStyle w:val="000000100000" w:firstRow="0" w:lastRow="0" w:firstColumn="0" w:lastColumn="0" w:oddVBand="0" w:evenVBand="0" w:oddHBand="1" w:evenHBand="0" w:firstRowFirstColumn="0" w:firstRowLastColumn="0" w:lastRowFirstColumn="0" w:lastRowLastColumn="0"/>
            </w:pPr>
            <w:r>
              <w:t>118.9</w:t>
            </w:r>
          </w:p>
        </w:tc>
        <w:tc>
          <w:tcPr>
            <w:tcW w:w="2268" w:type="dxa"/>
          </w:tcPr>
          <w:p w:rsidR="00345A50" w:rsidRDefault="00753549" w:rsidP="00753549">
            <w:pPr>
              <w:jc w:val="center"/>
              <w:cnfStyle w:val="000000100000" w:firstRow="0" w:lastRow="0" w:firstColumn="0" w:lastColumn="0" w:oddVBand="0" w:evenVBand="0" w:oddHBand="1" w:evenHBand="0" w:firstRowFirstColumn="0" w:firstRowLastColumn="0" w:lastRowFirstColumn="0" w:lastRowLastColumn="0"/>
            </w:pPr>
            <w:r>
              <w:t>90.9</w:t>
            </w:r>
          </w:p>
        </w:tc>
        <w:tc>
          <w:tcPr>
            <w:tcW w:w="1842" w:type="dxa"/>
          </w:tcPr>
          <w:p w:rsidR="00345A50" w:rsidRDefault="00753549" w:rsidP="00753549">
            <w:pPr>
              <w:jc w:val="center"/>
              <w:cnfStyle w:val="000000100000" w:firstRow="0" w:lastRow="0" w:firstColumn="0" w:lastColumn="0" w:oddVBand="0" w:evenVBand="0" w:oddHBand="1" w:evenHBand="0" w:firstRowFirstColumn="0" w:firstRowLastColumn="0" w:lastRowFirstColumn="0" w:lastRowLastColumn="0"/>
            </w:pPr>
            <w:r>
              <w:t>101.3</w:t>
            </w:r>
          </w:p>
        </w:tc>
      </w:tr>
      <w:tr w:rsidR="00345A50" w:rsidTr="004D2DF9">
        <w:tc>
          <w:tcPr>
            <w:cnfStyle w:val="001000000000" w:firstRow="0" w:lastRow="0" w:firstColumn="1" w:lastColumn="0" w:oddVBand="0" w:evenVBand="0" w:oddHBand="0" w:evenHBand="0" w:firstRowFirstColumn="0" w:firstRowLastColumn="0" w:lastRowFirstColumn="0" w:lastRowLastColumn="0"/>
            <w:tcW w:w="3085" w:type="dxa"/>
          </w:tcPr>
          <w:p w:rsidR="00345A50" w:rsidRDefault="00345A50" w:rsidP="00753549">
            <w:r w:rsidRPr="00345A50">
              <w:t>Taux d’équipement* en places de services de soins à domicile</w:t>
            </w:r>
          </w:p>
        </w:tc>
        <w:tc>
          <w:tcPr>
            <w:tcW w:w="2127" w:type="dxa"/>
          </w:tcPr>
          <w:p w:rsidR="00345A50" w:rsidRDefault="00753549" w:rsidP="00753549">
            <w:pPr>
              <w:jc w:val="center"/>
              <w:cnfStyle w:val="000000000000" w:firstRow="0" w:lastRow="0" w:firstColumn="0" w:lastColumn="0" w:oddVBand="0" w:evenVBand="0" w:oddHBand="0" w:evenHBand="0" w:firstRowFirstColumn="0" w:firstRowLastColumn="0" w:lastRowFirstColumn="0" w:lastRowLastColumn="0"/>
            </w:pPr>
            <w:r>
              <w:t>22.8</w:t>
            </w:r>
          </w:p>
        </w:tc>
        <w:tc>
          <w:tcPr>
            <w:tcW w:w="2268" w:type="dxa"/>
          </w:tcPr>
          <w:p w:rsidR="00345A50" w:rsidRDefault="00753549" w:rsidP="00753549">
            <w:pPr>
              <w:jc w:val="center"/>
              <w:cnfStyle w:val="000000000000" w:firstRow="0" w:lastRow="0" w:firstColumn="0" w:lastColumn="0" w:oddVBand="0" w:evenVBand="0" w:oddHBand="0" w:evenHBand="0" w:firstRowFirstColumn="0" w:firstRowLastColumn="0" w:lastRowFirstColumn="0" w:lastRowLastColumn="0"/>
            </w:pPr>
            <w:r>
              <w:t>21.8</w:t>
            </w:r>
          </w:p>
        </w:tc>
        <w:tc>
          <w:tcPr>
            <w:tcW w:w="1842" w:type="dxa"/>
          </w:tcPr>
          <w:p w:rsidR="00345A50" w:rsidRDefault="00753549" w:rsidP="00753549">
            <w:pPr>
              <w:jc w:val="center"/>
              <w:cnfStyle w:val="000000000000" w:firstRow="0" w:lastRow="0" w:firstColumn="0" w:lastColumn="0" w:oddVBand="0" w:evenVBand="0" w:oddHBand="0" w:evenHBand="0" w:firstRowFirstColumn="0" w:firstRowLastColumn="0" w:lastRowFirstColumn="0" w:lastRowLastColumn="0"/>
            </w:pPr>
            <w:r>
              <w:t>19.2</w:t>
            </w:r>
          </w:p>
        </w:tc>
      </w:tr>
    </w:tbl>
    <w:p w:rsidR="00345A50" w:rsidRPr="00753549" w:rsidRDefault="00345A50" w:rsidP="00345A50">
      <w:pPr>
        <w:rPr>
          <w:sz w:val="18"/>
        </w:rPr>
      </w:pPr>
      <w:r w:rsidRPr="00753549">
        <w:rPr>
          <w:sz w:val="18"/>
        </w:rPr>
        <w:t>*Pour mille habitants de 75 ans et plus</w:t>
      </w:r>
    </w:p>
    <w:p w:rsidR="00345A50" w:rsidRDefault="00345A50" w:rsidP="004D2DF9">
      <w:pPr>
        <w:spacing w:before="0"/>
        <w:rPr>
          <w:sz w:val="18"/>
        </w:rPr>
      </w:pPr>
      <w:r w:rsidRPr="00753549">
        <w:rPr>
          <w:sz w:val="18"/>
        </w:rPr>
        <w:t>Source: STATISS — DRASS — Enquête ES — FINESS, 1er janvier 2010</w:t>
      </w:r>
      <w:r w:rsidR="00B76A45">
        <w:rPr>
          <w:sz w:val="18"/>
        </w:rPr>
        <w:t xml:space="preserve"> </w:t>
      </w:r>
    </w:p>
    <w:p w:rsidR="005B5ADF" w:rsidRPr="005B5ADF" w:rsidRDefault="004D2DF9" w:rsidP="005B5ADF">
      <w:pPr>
        <w:pStyle w:val="Titre5"/>
        <w:rPr>
          <w:sz w:val="24"/>
        </w:rPr>
      </w:pPr>
      <w:r w:rsidRPr="004D2DF9">
        <w:rPr>
          <w:rFonts w:ascii="Arial" w:eastAsiaTheme="minorHAnsi" w:hAnsi="Arial" w:cstheme="minorBidi"/>
          <w:color w:val="auto"/>
          <w:u w:val="single"/>
        </w:rPr>
        <w:t>Capacité de prise en charge – Territoire de Belfort</w:t>
      </w:r>
      <w:r w:rsidR="005B5ADF" w:rsidRPr="005B5ADF">
        <w:rPr>
          <w:rFonts w:ascii="Arial" w:eastAsiaTheme="minorHAnsi" w:hAnsi="Arial" w:cstheme="minorBidi"/>
          <w:color w:val="auto"/>
        </w:rPr>
        <w:t xml:space="preserve"> (Avril 2011, Conseil Départemental)</w:t>
      </w:r>
    </w:p>
    <w:p w:rsidR="004D2DF9" w:rsidRDefault="004D2DF9" w:rsidP="004D2DF9">
      <w:r w:rsidRPr="005933BD">
        <w:rPr>
          <w:noProof/>
          <w:u w:val="single"/>
          <w:lang w:eastAsia="fr-FR"/>
        </w:rPr>
        <w:drawing>
          <wp:anchor distT="0" distB="0" distL="114300" distR="114300" simplePos="0" relativeHeight="251658240" behindDoc="0" locked="0" layoutInCell="1" allowOverlap="1">
            <wp:simplePos x="0" y="0"/>
            <wp:positionH relativeFrom="column">
              <wp:posOffset>2540</wp:posOffset>
            </wp:positionH>
            <wp:positionV relativeFrom="paragraph">
              <wp:posOffset>72390</wp:posOffset>
            </wp:positionV>
            <wp:extent cx="3689350" cy="3997325"/>
            <wp:effectExtent l="0" t="0" r="6350" b="317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l="9963" t="21646" r="44465" b="12529"/>
                    <a:stretch/>
                  </pic:blipFill>
                  <pic:spPr bwMode="auto">
                    <a:xfrm>
                      <a:off x="0" y="0"/>
                      <a:ext cx="3689350" cy="3997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B5ADF">
        <w:t xml:space="preserve">À rajouter au tableau : </w:t>
      </w:r>
    </w:p>
    <w:p w:rsidR="005B5ADF" w:rsidRPr="005B5ADF" w:rsidRDefault="005B5ADF" w:rsidP="004D2DF9">
      <w:r>
        <w:t xml:space="preserve">MARPA – Grandvillars (Maison d’Accueil Rurale pour personnes âgées) : 23 places </w:t>
      </w:r>
    </w:p>
    <w:p w:rsidR="005B5ADF" w:rsidRDefault="005B5ADF" w:rsidP="00345A50"/>
    <w:p w:rsidR="00E16A81" w:rsidRDefault="00E16A81" w:rsidP="00345A50">
      <w:r>
        <w:t>De 2008 à 2012, le nombre total de place en hébergement a augmenté de 16.5%.</w:t>
      </w:r>
    </w:p>
    <w:p w:rsidR="00E16A81" w:rsidRDefault="00E16A81" w:rsidP="00345A50"/>
    <w:p w:rsidR="00E16A81" w:rsidRDefault="00E16A81" w:rsidP="00345A50">
      <w:r>
        <w:t>Il existe deux types d’hébergements pour personnes âgées : les résidences séniors et les établissements d’hébergement médicalisés (les EHPAD). L’ensem</w:t>
      </w:r>
      <w:r w:rsidR="00066CAA">
        <w:t>ble des établissements ci-contre</w:t>
      </w:r>
      <w:r>
        <w:t xml:space="preserve"> sont devenus des EHPAD  afin de développer l’offre de soins pour personnes âgées. </w:t>
      </w:r>
    </w:p>
    <w:p w:rsidR="00E4789A" w:rsidRDefault="00E4789A" w:rsidP="00345A50"/>
    <w:p w:rsidR="00066CAA" w:rsidRDefault="00066CAA" w:rsidP="00345A50"/>
    <w:p w:rsidR="00E16A81" w:rsidRDefault="00E16A81" w:rsidP="00C00293">
      <w:pPr>
        <w:pBdr>
          <w:top w:val="single" w:sz="6" w:space="1" w:color="D60409"/>
          <w:left w:val="single" w:sz="6" w:space="4" w:color="D60409"/>
          <w:bottom w:val="single" w:sz="6" w:space="1" w:color="D60409"/>
          <w:right w:val="single" w:sz="6" w:space="4" w:color="D60409"/>
        </w:pBdr>
      </w:pPr>
      <w:r>
        <w:t xml:space="preserve">Données intéressantes pour le diagnostic communal ou intercommunal : la capacité de l’établissement, le nombre de places médicalisées, le nombre de place en hébergement, </w:t>
      </w:r>
      <w:r w:rsidR="00C00293">
        <w:t xml:space="preserve">le nombre de places pour un service de soins à domicile </w:t>
      </w:r>
      <w:r>
        <w:t xml:space="preserve">etc. au regard de la demande ou de la population concernée. </w:t>
      </w:r>
    </w:p>
    <w:p w:rsidR="003377B1" w:rsidRPr="00C00293" w:rsidRDefault="005E749E" w:rsidP="005E749E">
      <w:pPr>
        <w:pStyle w:val="Titre5"/>
        <w:rPr>
          <w:rFonts w:ascii="Arial" w:eastAsiaTheme="minorHAnsi" w:hAnsi="Arial" w:cstheme="minorBidi"/>
          <w:color w:val="auto"/>
          <w:u w:val="single"/>
        </w:rPr>
      </w:pPr>
      <w:r w:rsidRPr="00C00293">
        <w:rPr>
          <w:rFonts w:ascii="Arial" w:eastAsiaTheme="minorHAnsi" w:hAnsi="Arial" w:cstheme="minorBidi"/>
          <w:color w:val="auto"/>
          <w:u w:val="single"/>
        </w:rPr>
        <w:lastRenderedPageBreak/>
        <w:t xml:space="preserve">Fiches actions </w:t>
      </w:r>
    </w:p>
    <w:p w:rsidR="00C00293" w:rsidRDefault="006F76E4" w:rsidP="00D97702">
      <w:r>
        <w:t xml:space="preserve">Ces fiches font suite aux orientations thématiques. </w:t>
      </w:r>
      <w:r w:rsidR="00C00293">
        <w:t xml:space="preserve">Elles présentent des objectifs concrets sur la période du schéma. Tous ces objectifs n’ont pas vocation à apparaître dans un PLU étant donné qu’ils font l’objet d’une politique départementale. Cependant, ils peuvent informer sur les projets d’extension ou de création d’équipements. </w:t>
      </w:r>
    </w:p>
    <w:p w:rsidR="00B83BE5" w:rsidRDefault="00B83BE5" w:rsidP="00D97702">
      <w:r>
        <w:t xml:space="preserve">Exemples d’actions : </w:t>
      </w:r>
    </w:p>
    <w:p w:rsidR="00975F52" w:rsidRDefault="00B83BE5" w:rsidP="00B83BE5">
      <w:pPr>
        <w:pStyle w:val="Paragraphedeliste"/>
        <w:numPr>
          <w:ilvl w:val="0"/>
          <w:numId w:val="17"/>
        </w:numPr>
        <w:rPr>
          <w:rFonts w:cs="Arial"/>
        </w:rPr>
      </w:pPr>
      <w:r>
        <w:rPr>
          <w:rFonts w:cs="Arial"/>
        </w:rPr>
        <w:t xml:space="preserve">Accompagner le projet immobilier de restructuration du </w:t>
      </w:r>
      <w:proofErr w:type="spellStart"/>
      <w:r>
        <w:rPr>
          <w:rFonts w:cs="Arial"/>
        </w:rPr>
        <w:t>Chênois</w:t>
      </w:r>
      <w:proofErr w:type="spellEnd"/>
      <w:r>
        <w:rPr>
          <w:rFonts w:cs="Arial"/>
        </w:rPr>
        <w:t xml:space="preserve"> de Bavilliers</w:t>
      </w:r>
    </w:p>
    <w:p w:rsidR="002867B5" w:rsidRPr="00B83BE5" w:rsidRDefault="002867B5" w:rsidP="002867B5">
      <w:pPr>
        <w:rPr>
          <w:sz w:val="20"/>
        </w:rPr>
      </w:pPr>
      <w:r w:rsidRPr="00B83BE5">
        <w:rPr>
          <w:sz w:val="20"/>
        </w:rPr>
        <w:t>Objectifs opérationnels </w:t>
      </w:r>
      <w:r>
        <w:rPr>
          <w:sz w:val="20"/>
        </w:rPr>
        <w:t xml:space="preserve">et finalité de l’action </w:t>
      </w:r>
      <w:r w:rsidRPr="00B83BE5">
        <w:rPr>
          <w:sz w:val="20"/>
        </w:rPr>
        <w:t xml:space="preserve">: </w:t>
      </w:r>
    </w:p>
    <w:p w:rsidR="002867B5" w:rsidRPr="00B83BE5" w:rsidRDefault="002867B5" w:rsidP="002867B5">
      <w:pPr>
        <w:pStyle w:val="Paragraphedeliste"/>
        <w:numPr>
          <w:ilvl w:val="0"/>
          <w:numId w:val="19"/>
        </w:numPr>
        <w:rPr>
          <w:sz w:val="20"/>
        </w:rPr>
      </w:pPr>
      <w:r w:rsidRPr="00B83BE5">
        <w:rPr>
          <w:sz w:val="20"/>
        </w:rPr>
        <w:t>Restructuration immobilière au moins validée et démarrée</w:t>
      </w:r>
    </w:p>
    <w:p w:rsidR="002867B5" w:rsidRDefault="002867B5" w:rsidP="002867B5">
      <w:pPr>
        <w:pStyle w:val="Paragraphedeliste"/>
        <w:numPr>
          <w:ilvl w:val="0"/>
          <w:numId w:val="19"/>
        </w:numPr>
        <w:rPr>
          <w:sz w:val="20"/>
        </w:rPr>
      </w:pPr>
      <w:r w:rsidRPr="00B83BE5">
        <w:rPr>
          <w:sz w:val="20"/>
        </w:rPr>
        <w:t>Projet d’établissement réactualisé</w:t>
      </w:r>
    </w:p>
    <w:p w:rsidR="002867B5" w:rsidRPr="002867B5" w:rsidRDefault="002867B5" w:rsidP="002867B5">
      <w:pPr>
        <w:rPr>
          <w:sz w:val="20"/>
        </w:rPr>
      </w:pPr>
      <w:r w:rsidRPr="002867B5">
        <w:rPr>
          <w:sz w:val="20"/>
        </w:rPr>
        <w:t>À terme, meilleure prise en charge des résidents et organisation facilitée pour les salariés</w:t>
      </w:r>
    </w:p>
    <w:p w:rsidR="00A713E9" w:rsidRDefault="002867B5" w:rsidP="002867B5">
      <w:pPr>
        <w:pStyle w:val="Paragraphedeliste"/>
        <w:numPr>
          <w:ilvl w:val="0"/>
          <w:numId w:val="17"/>
        </w:numPr>
        <w:rPr>
          <w:rFonts w:cs="Arial"/>
        </w:rPr>
      </w:pPr>
      <w:r>
        <w:rPr>
          <w:rFonts w:cs="Arial"/>
        </w:rPr>
        <w:t>Diversifier l’offre entre le domicile classique et l’EHPAD</w:t>
      </w:r>
    </w:p>
    <w:p w:rsidR="002867B5" w:rsidRPr="002867B5" w:rsidRDefault="002867B5" w:rsidP="002867B5">
      <w:pPr>
        <w:pStyle w:val="Paragraphedeliste"/>
        <w:numPr>
          <w:ilvl w:val="0"/>
          <w:numId w:val="17"/>
        </w:numPr>
        <w:rPr>
          <w:rFonts w:cs="Arial"/>
        </w:rPr>
      </w:pPr>
      <w:r>
        <w:rPr>
          <w:rFonts w:cs="Arial"/>
        </w:rPr>
        <w:t xml:space="preserve">Etc. </w:t>
      </w:r>
    </w:p>
    <w:p w:rsidR="00D97702" w:rsidRPr="002867B5" w:rsidRDefault="00D97702" w:rsidP="002867B5">
      <w:pPr>
        <w:rPr>
          <w:u w:val="single"/>
        </w:rPr>
      </w:pPr>
      <w:r w:rsidRPr="002867B5">
        <w:rPr>
          <w:u w:val="single"/>
        </w:rPr>
        <w:t>Conclusions des actions </w:t>
      </w:r>
      <w:r w:rsidR="00DA01C1" w:rsidRPr="002867B5">
        <w:rPr>
          <w:u w:val="single"/>
        </w:rPr>
        <w:t>d’aménagement d’équipements</w:t>
      </w:r>
    </w:p>
    <w:p w:rsidR="002A0FC8" w:rsidRDefault="00DA01C1" w:rsidP="00D97702">
      <w:r>
        <w:t>Les structures actuelles sont jugées suffisantes pour répondre aux b</w:t>
      </w:r>
      <w:r w:rsidR="00526260">
        <w:t>esoins de la population</w:t>
      </w:r>
      <w:r>
        <w:t xml:space="preserve"> du Territoire de Belfort et devrait pouvoir gérer une augmentation de la demande (1 à 2% de vacants). </w:t>
      </w:r>
    </w:p>
    <w:p w:rsidR="00DA01C1" w:rsidRPr="00526260" w:rsidRDefault="00DA01C1" w:rsidP="002A0FC8">
      <w:pPr>
        <w:pBdr>
          <w:top w:val="single" w:sz="8" w:space="1" w:color="E6103E"/>
          <w:left w:val="single" w:sz="8" w:space="4" w:color="E6103E"/>
          <w:bottom w:val="single" w:sz="8" w:space="1" w:color="E6103E"/>
          <w:right w:val="single" w:sz="8" w:space="4" w:color="E6103E"/>
        </w:pBdr>
      </w:pPr>
      <w:r w:rsidRPr="00526260">
        <w:t xml:space="preserve">Ces conclusions sur les orientations et les actions du Schéma départemental sont à prendre en compte dans la définition des besoins en matière d’équipements </w:t>
      </w:r>
      <w:r w:rsidR="00526260" w:rsidRPr="00526260">
        <w:t>l</w:t>
      </w:r>
      <w:r w:rsidRPr="00526260">
        <w:t>orsque la commune ou la communauté de commune</w:t>
      </w:r>
      <w:r w:rsidR="00066CAA">
        <w:t>s</w:t>
      </w:r>
      <w:r w:rsidRPr="00526260">
        <w:t xml:space="preserve"> est concernée par une de ces structures. </w:t>
      </w:r>
      <w:r w:rsidR="00066CAA">
        <w:t>L</w:t>
      </w:r>
      <w:r w:rsidRPr="00526260">
        <w:t xml:space="preserve">e rayonnement de ce type d’équipement n’est pas exclusivement communal. Par exemple dans le Sud Territoire ces structures accueillent des personnes du Doubs ou de la Haute Saône et ont plutôt un rayonnement à l’échelle de l’Aire urbaine. </w:t>
      </w:r>
    </w:p>
    <w:p w:rsidR="00B611C6" w:rsidRPr="00526260" w:rsidRDefault="00526260" w:rsidP="00526260">
      <w:pPr>
        <w:pStyle w:val="Titre1"/>
        <w:rPr>
          <w:rFonts w:eastAsiaTheme="minorHAnsi" w:cstheme="minorBidi"/>
          <w:bCs w:val="0"/>
          <w:color w:val="auto"/>
          <w:sz w:val="22"/>
          <w:szCs w:val="22"/>
        </w:rPr>
      </w:pPr>
      <w:r>
        <w:rPr>
          <w:rFonts w:eastAsiaTheme="minorHAnsi" w:cstheme="minorBidi"/>
          <w:bCs w:val="0"/>
          <w:color w:val="auto"/>
          <w:sz w:val="22"/>
          <w:szCs w:val="22"/>
        </w:rPr>
        <w:t xml:space="preserve">Second document : </w:t>
      </w:r>
      <w:r w:rsidR="00B611C6" w:rsidRPr="00526260">
        <w:rPr>
          <w:rFonts w:eastAsiaTheme="minorHAnsi" w:cstheme="minorBidi"/>
          <w:bCs w:val="0"/>
          <w:color w:val="auto"/>
          <w:sz w:val="22"/>
          <w:szCs w:val="22"/>
        </w:rPr>
        <w:t>Schéma départemental du Territoire de Belfort : Personnes handicapées adultes</w:t>
      </w:r>
    </w:p>
    <w:p w:rsidR="00B611C6" w:rsidRPr="009F5D03" w:rsidRDefault="000B28AD" w:rsidP="009F5D03">
      <w:pPr>
        <w:rPr>
          <w:u w:val="single"/>
        </w:rPr>
      </w:pPr>
      <w:r w:rsidRPr="009F5D03">
        <w:rPr>
          <w:u w:val="single"/>
        </w:rPr>
        <w:t xml:space="preserve">La notion de handicap </w:t>
      </w:r>
    </w:p>
    <w:p w:rsidR="002A0FC8" w:rsidRDefault="000B28AD" w:rsidP="000B28AD">
      <w:r>
        <w:t>La loi pour l’égalité des droits et des chances, la participation et la citoyenneté des personnes handicapées du 11 février 2005 définit le handicap comme « toute limitation d’activité ou restriction de participation à la vie en société subie dans son environnement par une personne en raison d’une altération substantielle, durable, ou définitive d’une ou plusieurs fonctions physiques, sensorielles, mentales, cognitives ou psychiques, d’un polyhandicap ou d’un trouble de santé invalidant ».</w:t>
      </w:r>
    </w:p>
    <w:p w:rsidR="000B28AD" w:rsidRPr="009F5D03" w:rsidRDefault="001C1A1E" w:rsidP="009F5D03">
      <w:pPr>
        <w:rPr>
          <w:u w:val="single"/>
        </w:rPr>
      </w:pPr>
      <w:r w:rsidRPr="009F5D03">
        <w:rPr>
          <w:u w:val="single"/>
        </w:rPr>
        <w:t xml:space="preserve">Chiffres clés </w:t>
      </w:r>
    </w:p>
    <w:p w:rsidR="001C1A1E" w:rsidRDefault="001C1A1E" w:rsidP="000B28AD">
      <w:r w:rsidRPr="001C1A1E">
        <w:rPr>
          <w:b/>
        </w:rPr>
        <w:t>9004</w:t>
      </w:r>
      <w:r>
        <w:t xml:space="preserve"> personnes en situation de handicap </w:t>
      </w:r>
      <w:r w:rsidR="00066CAA">
        <w:t xml:space="preserve">sont </w:t>
      </w:r>
      <w:r>
        <w:t>recensées dans le Territoire de Belfort</w:t>
      </w:r>
      <w:r w:rsidR="009F5D03">
        <w:rPr>
          <w:rStyle w:val="Appelnotedebasdep"/>
        </w:rPr>
        <w:footnoteReference w:id="2"/>
      </w:r>
      <w:r w:rsidR="00066CAA">
        <w:t>, r</w:t>
      </w:r>
      <w:r>
        <w:t>eprésente</w:t>
      </w:r>
      <w:r w:rsidR="00066CAA">
        <w:t>nt</w:t>
      </w:r>
      <w:r>
        <w:t xml:space="preserve"> 8.5% de la population âgée de 20 ans ou plus. </w:t>
      </w:r>
    </w:p>
    <w:p w:rsidR="009F5D03" w:rsidRPr="009F5D03" w:rsidRDefault="009F5D03" w:rsidP="009F5D03">
      <w:pPr>
        <w:rPr>
          <w:u w:val="single"/>
        </w:rPr>
      </w:pPr>
      <w:r w:rsidRPr="009F5D03">
        <w:rPr>
          <w:u w:val="single"/>
        </w:rPr>
        <w:t>Type de structure d’hébergement </w:t>
      </w:r>
    </w:p>
    <w:p w:rsidR="009F5D03" w:rsidRPr="00975F52" w:rsidRDefault="009F5D03" w:rsidP="009F5D03">
      <w:r>
        <w:t xml:space="preserve">On retrouve dans le schéma le nombre de places initiales pour chaque structure, le nombre de places à réaliser et le nombre de places réalisées (en 2011). </w:t>
      </w:r>
    </w:p>
    <w:p w:rsidR="009F5D03" w:rsidRDefault="009F5D03" w:rsidP="009F5D03">
      <w:pPr>
        <w:pStyle w:val="Paragraphedeliste"/>
        <w:numPr>
          <w:ilvl w:val="0"/>
          <w:numId w:val="3"/>
        </w:numPr>
      </w:pPr>
      <w:r>
        <w:t>Maison d’accueil spécialisé</w:t>
      </w:r>
    </w:p>
    <w:p w:rsidR="009F5D03" w:rsidRDefault="009F5D03" w:rsidP="009F5D03">
      <w:pPr>
        <w:pStyle w:val="Paragraphedeliste"/>
        <w:numPr>
          <w:ilvl w:val="0"/>
          <w:numId w:val="3"/>
        </w:numPr>
      </w:pPr>
      <w:r>
        <w:lastRenderedPageBreak/>
        <w:t>Foyer hébergement de travailleurs handicapés</w:t>
      </w:r>
    </w:p>
    <w:p w:rsidR="009F5D03" w:rsidRDefault="009F5D03" w:rsidP="009F5D03">
      <w:pPr>
        <w:pStyle w:val="Paragraphedeliste"/>
        <w:numPr>
          <w:ilvl w:val="0"/>
          <w:numId w:val="3"/>
        </w:numPr>
      </w:pPr>
      <w:r>
        <w:t>Foyer de vie</w:t>
      </w:r>
    </w:p>
    <w:p w:rsidR="009F5D03" w:rsidRDefault="009F5D03" w:rsidP="009F5D03">
      <w:pPr>
        <w:pStyle w:val="Paragraphedeliste"/>
        <w:numPr>
          <w:ilvl w:val="0"/>
          <w:numId w:val="3"/>
        </w:numPr>
      </w:pPr>
      <w:r>
        <w:t>Foyer d’accueil médicalisé</w:t>
      </w:r>
    </w:p>
    <w:p w:rsidR="009F5D03" w:rsidRPr="009F5D03" w:rsidRDefault="009F5D03" w:rsidP="009F5D03">
      <w:pPr>
        <w:rPr>
          <w:u w:val="single"/>
        </w:rPr>
      </w:pPr>
      <w:r w:rsidRPr="009F5D03">
        <w:rPr>
          <w:u w:val="single"/>
        </w:rPr>
        <w:t xml:space="preserve">Type de structure d’accompagnement </w:t>
      </w:r>
    </w:p>
    <w:p w:rsidR="009F5D03" w:rsidRDefault="009F5D03" w:rsidP="009F5D03">
      <w:pPr>
        <w:pStyle w:val="Paragraphedeliste"/>
        <w:numPr>
          <w:ilvl w:val="0"/>
          <w:numId w:val="3"/>
        </w:numPr>
      </w:pPr>
      <w:r>
        <w:t>Section d’accueil à temps partagé (SATP/ESAT)</w:t>
      </w:r>
    </w:p>
    <w:p w:rsidR="009F5D03" w:rsidRDefault="009F5D03" w:rsidP="009F5D03">
      <w:pPr>
        <w:pStyle w:val="Paragraphedeliste"/>
        <w:numPr>
          <w:ilvl w:val="0"/>
          <w:numId w:val="3"/>
        </w:numPr>
      </w:pPr>
      <w:r>
        <w:t>Accueil de jour</w:t>
      </w:r>
    </w:p>
    <w:p w:rsidR="009F5D03" w:rsidRDefault="009F5D03" w:rsidP="009F5D03">
      <w:pPr>
        <w:pStyle w:val="Paragraphedeliste"/>
        <w:numPr>
          <w:ilvl w:val="0"/>
          <w:numId w:val="3"/>
        </w:numPr>
      </w:pPr>
      <w:r>
        <w:t xml:space="preserve">Services d’accompagnement à la vie sociale </w:t>
      </w:r>
    </w:p>
    <w:p w:rsidR="001C1A1E" w:rsidRPr="009F5D03" w:rsidRDefault="009F5D03" w:rsidP="009F5D03">
      <w:pPr>
        <w:rPr>
          <w:u w:val="single"/>
        </w:rPr>
      </w:pPr>
      <w:r w:rsidRPr="009F5D03">
        <w:rPr>
          <w:u w:val="single"/>
        </w:rPr>
        <w:t>L</w:t>
      </w:r>
      <w:r w:rsidR="001C1A1E" w:rsidRPr="009F5D03">
        <w:rPr>
          <w:u w:val="single"/>
        </w:rPr>
        <w:t xml:space="preserve">a Maison Départementale des Personnes Handicapées </w:t>
      </w:r>
    </w:p>
    <w:p w:rsidR="001C1A1E" w:rsidRDefault="009F5D03" w:rsidP="000B28AD">
      <w:r>
        <w:t xml:space="preserve">Basée à Belfort, la MDPH est un guichet unique regroupant tous les services dédiés aux personnes en situation de handicap. </w:t>
      </w:r>
      <w:r w:rsidR="001C1A1E">
        <w:t xml:space="preserve">Plusieurs demandes peuvent être </w:t>
      </w:r>
      <w:r w:rsidR="00227A5E">
        <w:t>faites</w:t>
      </w:r>
      <w:r w:rsidR="001C1A1E">
        <w:t xml:space="preserve"> concernant des allocations, </w:t>
      </w:r>
      <w:r w:rsidR="00227A5E">
        <w:t xml:space="preserve">différentes cartes, aménagement du temps scolaire et/ou du transport scolaire, orientation professionnelle, orientation vers des services ou établissements médico-sociaux. </w:t>
      </w:r>
    </w:p>
    <w:p w:rsidR="00751410" w:rsidRPr="00751410" w:rsidRDefault="00751410" w:rsidP="00B842DC">
      <w:pPr>
        <w:rPr>
          <w:u w:val="single"/>
        </w:rPr>
      </w:pPr>
      <w:r w:rsidRPr="00751410">
        <w:rPr>
          <w:u w:val="single"/>
        </w:rPr>
        <w:t>La capacité de prise en charge</w:t>
      </w:r>
    </w:p>
    <w:p w:rsidR="00B842DC" w:rsidRDefault="00B842DC" w:rsidP="00B842DC">
      <w:r>
        <w:t>Elle recouvre les Établissements et services d’aide par le travail (ESAT), les places d’hébergement et les places d’accompagnement.</w:t>
      </w:r>
    </w:p>
    <w:p w:rsidR="00B842DC" w:rsidRDefault="00B842DC" w:rsidP="00B842DC">
      <w:r w:rsidRPr="00751410">
        <w:rPr>
          <w:b/>
        </w:rPr>
        <w:t>340 places en Établissements et services d’aide par le travail</w:t>
      </w:r>
      <w:r>
        <w:t xml:space="preserve"> (ESAT) </w:t>
      </w:r>
      <w:r w:rsidR="00751410">
        <w:t xml:space="preserve">sur le Territoire de Belfort. Ce taux de couverture est </w:t>
      </w:r>
      <w:r>
        <w:t xml:space="preserve">au-dessus de la moyenne métropolitaine (4.5 pour mille contre 3.4 pour mille) et au-dessus des autres départements Franc-comtois. </w:t>
      </w:r>
    </w:p>
    <w:p w:rsidR="00751410" w:rsidRDefault="00751410" w:rsidP="00B842DC">
      <w:r>
        <w:t xml:space="preserve">Cependant les listes d’attente sont toujours effectives indiquant que le besoin n’est pas totalement couvert. </w:t>
      </w:r>
    </w:p>
    <w:p w:rsidR="00751410" w:rsidRDefault="00751410" w:rsidP="00B842DC">
      <w:r w:rsidRPr="00751410">
        <w:rPr>
          <w:b/>
        </w:rPr>
        <w:t>23 places en foyer d’hébergement pour 100 places en ESAT</w:t>
      </w:r>
      <w:r>
        <w:t xml:space="preserve"> : faible capacité d’hébergement du département par rapport à la moyenne métropolitaine (36 places pour 100). </w:t>
      </w:r>
    </w:p>
    <w:p w:rsidR="000328E4" w:rsidRDefault="00B842DC" w:rsidP="000328E4">
      <w:r>
        <w:t xml:space="preserve">L’ancien schéma a contribué à corriger cette sous capacité en créant 56 places supplémentaires depuis 2007. </w:t>
      </w:r>
      <w:r w:rsidR="000328E4">
        <w:t>En septembre 2011, le département compte 208 places : 79 places en foyer d’hébergement, 30 places en foyer de vie et 99 places en Maison d’accueil spécialisée (MAS) et Foyer d’accueil médicalisé (FAM).</w:t>
      </w:r>
    </w:p>
    <w:p w:rsidR="00503235" w:rsidRPr="00503235" w:rsidRDefault="00503235" w:rsidP="00751410"/>
    <w:p w:rsidR="00751410" w:rsidRDefault="00751410" w:rsidP="00503235">
      <w:pPr>
        <w:pBdr>
          <w:top w:val="single" w:sz="8" w:space="1" w:color="E6103E"/>
          <w:left w:val="single" w:sz="8" w:space="4" w:color="E6103E"/>
          <w:bottom w:val="single" w:sz="8" w:space="1" w:color="E6103E"/>
          <w:right w:val="single" w:sz="8" w:space="4" w:color="E6103E"/>
        </w:pBdr>
      </w:pPr>
      <w:r>
        <w:t xml:space="preserve">On peut difficilement appréhender cette thématique spécifique aux personnes en situation de handicap dans le cadre d’un PLU car ces équipements ont un rayonnement et une gestion départementale. De plus, leur logique d’implantation ne correspond pas forcément à la recherche d’une concentration de population ou d’une </w:t>
      </w:r>
      <w:proofErr w:type="spellStart"/>
      <w:r>
        <w:t>g</w:t>
      </w:r>
      <w:r w:rsidR="00066CAA">
        <w:t>rural</w:t>
      </w:r>
      <w:proofErr w:type="spellEnd"/>
      <w:r>
        <w:t xml:space="preserve">). </w:t>
      </w:r>
    </w:p>
    <w:p w:rsidR="003A4DF1" w:rsidRDefault="003A4DF1" w:rsidP="00C40BD1"/>
    <w:p w:rsidR="00751410" w:rsidRPr="005F0918" w:rsidRDefault="00751410" w:rsidP="005F0918">
      <w:pPr>
        <w:rPr>
          <w:rFonts w:asciiTheme="majorHAnsi" w:eastAsia="Arial" w:hAnsiTheme="majorHAnsi" w:cs="Arial"/>
          <w:b/>
          <w:color w:val="000000"/>
          <w:sz w:val="28"/>
          <w:szCs w:val="24"/>
          <w:lang w:eastAsia="fr-FR"/>
        </w:rPr>
      </w:pPr>
      <w:r w:rsidRPr="00751410">
        <w:rPr>
          <w:rFonts w:asciiTheme="majorHAnsi" w:eastAsia="Arial" w:hAnsiTheme="majorHAnsi" w:cs="Arial"/>
          <w:b/>
          <w:color w:val="000000"/>
          <w:sz w:val="28"/>
          <w:szCs w:val="24"/>
          <w:lang w:eastAsia="fr-FR"/>
        </w:rPr>
        <w:t xml:space="preserve">Synthèse – </w:t>
      </w:r>
      <w:r w:rsidR="005F0918">
        <w:rPr>
          <w:rFonts w:asciiTheme="majorHAnsi" w:eastAsia="Arial" w:hAnsiTheme="majorHAnsi" w:cs="Arial"/>
          <w:b/>
          <w:color w:val="000000"/>
          <w:sz w:val="28"/>
          <w:szCs w:val="24"/>
          <w:lang w:eastAsia="fr-FR"/>
        </w:rPr>
        <w:t>Exemples d’e</w:t>
      </w:r>
      <w:r w:rsidRPr="00751410">
        <w:rPr>
          <w:rFonts w:asciiTheme="majorHAnsi" w:eastAsia="Arial" w:hAnsiTheme="majorHAnsi" w:cs="Arial"/>
          <w:b/>
          <w:color w:val="000000"/>
          <w:sz w:val="28"/>
          <w:szCs w:val="24"/>
          <w:lang w:eastAsia="fr-FR"/>
        </w:rPr>
        <w:t xml:space="preserve">njeux </w:t>
      </w:r>
    </w:p>
    <w:p w:rsidR="005F0918" w:rsidRDefault="005F0918" w:rsidP="005F0918">
      <w:r>
        <w:t xml:space="preserve">À retenir : </w:t>
      </w:r>
    </w:p>
    <w:p w:rsidR="005F0918" w:rsidRDefault="005F0918" w:rsidP="005F0918">
      <w:pPr>
        <w:pStyle w:val="Paragraphedeliste"/>
        <w:numPr>
          <w:ilvl w:val="0"/>
          <w:numId w:val="3"/>
        </w:numPr>
      </w:pPr>
      <w:r>
        <w:t xml:space="preserve">La commune dispose d’équipements structurants du domaine de l’action sociale rayonnant à l’échelle du département. Ces équipements représentent un petit bassin d’emploi non négligeable. </w:t>
      </w:r>
    </w:p>
    <w:p w:rsidR="005F0918" w:rsidRDefault="005F0918" w:rsidP="005F0918">
      <w:r>
        <w:t xml:space="preserve">Enjeux : </w:t>
      </w:r>
    </w:p>
    <w:p w:rsidR="005F0918" w:rsidRDefault="005F0918" w:rsidP="005F0918">
      <w:pPr>
        <w:pStyle w:val="Paragraphedeliste"/>
        <w:numPr>
          <w:ilvl w:val="0"/>
          <w:numId w:val="3"/>
        </w:numPr>
      </w:pPr>
      <w:r>
        <w:t xml:space="preserve">Les possibilités de développement de ces structures, sources d’emplois. </w:t>
      </w:r>
    </w:p>
    <w:p w:rsidR="00C564F8" w:rsidRPr="00066CAA" w:rsidRDefault="005F0918" w:rsidP="00066CAA">
      <w:pPr>
        <w:pStyle w:val="Paragraphedeliste"/>
        <w:numPr>
          <w:ilvl w:val="0"/>
          <w:numId w:val="3"/>
        </w:numPr>
      </w:pPr>
      <w:r>
        <w:t xml:space="preserve">Maintien des structures d’accueil et d’aides aux personnes âgées </w:t>
      </w:r>
      <w:bookmarkStart w:id="0" w:name="_GoBack"/>
      <w:bookmarkEnd w:id="0"/>
    </w:p>
    <w:sectPr w:rsidR="00C564F8" w:rsidRPr="00066CAA" w:rsidSect="00E16A81">
      <w:headerReference w:type="default" r:id="rId10"/>
      <w:footerReference w:type="default" r:id="rId11"/>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411" w:rsidRDefault="00336411" w:rsidP="00336411">
      <w:pPr>
        <w:spacing w:before="0" w:line="240" w:lineRule="auto"/>
      </w:pPr>
      <w:r>
        <w:separator/>
      </w:r>
    </w:p>
  </w:endnote>
  <w:endnote w:type="continuationSeparator" w:id="0">
    <w:p w:rsidR="00336411" w:rsidRDefault="00336411" w:rsidP="0033641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Lucida Sans">
    <w:panose1 w:val="020B0602030504020204"/>
    <w:charset w:val="00"/>
    <w:family w:val="swiss"/>
    <w:pitch w:val="variable"/>
    <w:sig w:usb0="01002A87" w:usb1="00000000" w:usb2="00000000" w:usb3="00000000" w:csb0="000100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9690034"/>
      <w:docPartObj>
        <w:docPartGallery w:val="Page Numbers (Bottom of Page)"/>
        <w:docPartUnique/>
      </w:docPartObj>
    </w:sdtPr>
    <w:sdtEndPr/>
    <w:sdtContent>
      <w:p w:rsidR="005F0918" w:rsidRDefault="005F0918">
        <w:pPr>
          <w:pStyle w:val="Pieddepage"/>
          <w:jc w:val="right"/>
        </w:pPr>
        <w:r>
          <w:t xml:space="preserve">Page | </w:t>
        </w:r>
        <w:r>
          <w:fldChar w:fldCharType="begin"/>
        </w:r>
        <w:r>
          <w:instrText>PAGE   \* MERGEFORMAT</w:instrText>
        </w:r>
        <w:r>
          <w:fldChar w:fldCharType="separate"/>
        </w:r>
        <w:r w:rsidR="00066CAA">
          <w:rPr>
            <w:noProof/>
          </w:rPr>
          <w:t>6</w:t>
        </w:r>
        <w:r>
          <w:fldChar w:fldCharType="end"/>
        </w:r>
        <w:r>
          <w:t xml:space="preserve"> </w:t>
        </w:r>
      </w:p>
    </w:sdtContent>
  </w:sdt>
  <w:p w:rsidR="005F0918" w:rsidRDefault="005F091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411" w:rsidRDefault="00336411" w:rsidP="00336411">
      <w:pPr>
        <w:spacing w:before="0" w:line="240" w:lineRule="auto"/>
      </w:pPr>
      <w:r>
        <w:separator/>
      </w:r>
    </w:p>
  </w:footnote>
  <w:footnote w:type="continuationSeparator" w:id="0">
    <w:p w:rsidR="00336411" w:rsidRDefault="00336411" w:rsidP="00336411">
      <w:pPr>
        <w:spacing w:before="0" w:line="240" w:lineRule="auto"/>
      </w:pPr>
      <w:r>
        <w:continuationSeparator/>
      </w:r>
    </w:p>
  </w:footnote>
  <w:footnote w:id="1">
    <w:p w:rsidR="00E47F56" w:rsidRPr="00E47F56" w:rsidRDefault="00E47F56" w:rsidP="00E47F56">
      <w:pPr>
        <w:rPr>
          <w:sz w:val="20"/>
        </w:rPr>
      </w:pPr>
      <w:r>
        <w:rPr>
          <w:rStyle w:val="Appelnotedebasdep"/>
        </w:rPr>
        <w:footnoteRef/>
      </w:r>
      <w:r>
        <w:t xml:space="preserve"> </w:t>
      </w:r>
      <w:r>
        <w:rPr>
          <w:sz w:val="20"/>
        </w:rPr>
        <w:t xml:space="preserve">Source : </w:t>
      </w:r>
      <w:hyperlink r:id="rId1" w:history="1">
        <w:r w:rsidRPr="00AA3DFA">
          <w:rPr>
            <w:rStyle w:val="Lienhypertexte"/>
            <w:sz w:val="20"/>
          </w:rPr>
          <w:t>http://www.unccas.org/unccas/ccas-cias.asp</w:t>
        </w:r>
      </w:hyperlink>
      <w:r>
        <w:rPr>
          <w:sz w:val="20"/>
        </w:rPr>
        <w:t xml:space="preserve">  </w:t>
      </w:r>
    </w:p>
  </w:footnote>
  <w:footnote w:id="2">
    <w:p w:rsidR="009F5D03" w:rsidRDefault="009F5D03" w:rsidP="009F5D03">
      <w:r>
        <w:rPr>
          <w:rStyle w:val="Appelnotedebasdep"/>
        </w:rPr>
        <w:footnoteRef/>
      </w:r>
      <w:r>
        <w:t xml:space="preserve"> Reconnues administrativement, source : Maison Départementale des Personnes Handicapées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A87" w:rsidRPr="00C54A87" w:rsidRDefault="00C54A87" w:rsidP="00C54A87">
    <w:pPr>
      <w:pStyle w:val="En-tte"/>
      <w:jc w:val="right"/>
      <w:rPr>
        <w:rFonts w:asciiTheme="majorHAnsi" w:hAnsiTheme="majorHAnsi"/>
      </w:rPr>
    </w:pPr>
    <w:r>
      <w:rPr>
        <w:rFonts w:asciiTheme="majorHAnsi" w:hAnsiTheme="majorHAnsi"/>
      </w:rPr>
      <w:t>Équipements et services : thématique action sociale - 2015</w:t>
    </w:r>
  </w:p>
  <w:p w:rsidR="00C54A87" w:rsidRDefault="00C54A8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3711"/>
    <w:multiLevelType w:val="hybridMultilevel"/>
    <w:tmpl w:val="C726B13E"/>
    <w:lvl w:ilvl="0" w:tplc="F0DA9968">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5500AAB"/>
    <w:multiLevelType w:val="hybridMultilevel"/>
    <w:tmpl w:val="7D0A6E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1B0406D"/>
    <w:multiLevelType w:val="hybridMultilevel"/>
    <w:tmpl w:val="02D29F50"/>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22546C0"/>
    <w:multiLevelType w:val="hybridMultilevel"/>
    <w:tmpl w:val="E27E8E92"/>
    <w:lvl w:ilvl="0" w:tplc="FD3233AE">
      <w:start w:val="1"/>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240206C"/>
    <w:multiLevelType w:val="hybridMultilevel"/>
    <w:tmpl w:val="93EE9F0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42962CD"/>
    <w:multiLevelType w:val="hybridMultilevel"/>
    <w:tmpl w:val="CAE8E4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BF75D94"/>
    <w:multiLevelType w:val="hybridMultilevel"/>
    <w:tmpl w:val="3B26B3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6C55704"/>
    <w:multiLevelType w:val="hybridMultilevel"/>
    <w:tmpl w:val="BA5CFD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0E72843"/>
    <w:multiLevelType w:val="multilevel"/>
    <w:tmpl w:val="059EDA6E"/>
    <w:lvl w:ilvl="0">
      <w:start w:val="1"/>
      <w:numFmt w:val="decimal"/>
      <w:lvlText w:val="%1."/>
      <w:lvlJc w:val="left"/>
      <w:pPr>
        <w:ind w:left="720" w:hanging="360"/>
      </w:pPr>
      <w:rPr>
        <w:rFonts w:hint="default"/>
      </w:rPr>
    </w:lvl>
    <w:lvl w:ilvl="1">
      <w:start w:val="1"/>
      <w:numFmt w:val="decimal"/>
      <w:pStyle w:val="titre2plui"/>
      <w:isLgl/>
      <w:lvlText w:val="%1.%2"/>
      <w:lvlJc w:val="left"/>
      <w:pPr>
        <w:ind w:left="943"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442A4435"/>
    <w:multiLevelType w:val="hybridMultilevel"/>
    <w:tmpl w:val="93EE9F0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54C43CB"/>
    <w:multiLevelType w:val="hybridMultilevel"/>
    <w:tmpl w:val="15F46F08"/>
    <w:lvl w:ilvl="0" w:tplc="885CA16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9515EE8"/>
    <w:multiLevelType w:val="hybridMultilevel"/>
    <w:tmpl w:val="3148E9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1527296"/>
    <w:multiLevelType w:val="hybridMultilevel"/>
    <w:tmpl w:val="0E902E5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32143FB"/>
    <w:multiLevelType w:val="hybridMultilevel"/>
    <w:tmpl w:val="BCB2814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64E43B33"/>
    <w:multiLevelType w:val="hybridMultilevel"/>
    <w:tmpl w:val="ABD8F532"/>
    <w:lvl w:ilvl="0" w:tplc="F0DA9968">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65147DA8"/>
    <w:multiLevelType w:val="hybridMultilevel"/>
    <w:tmpl w:val="E1F8A1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581403B"/>
    <w:multiLevelType w:val="hybridMultilevel"/>
    <w:tmpl w:val="899A71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B7D5BC8"/>
    <w:multiLevelType w:val="hybridMultilevel"/>
    <w:tmpl w:val="9A6832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B75FD2"/>
    <w:multiLevelType w:val="hybridMultilevel"/>
    <w:tmpl w:val="2ADED6BA"/>
    <w:lvl w:ilvl="0" w:tplc="709C9AE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4928AF"/>
    <w:multiLevelType w:val="hybridMultilevel"/>
    <w:tmpl w:val="94FAA358"/>
    <w:lvl w:ilvl="0" w:tplc="F0DA9968">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0"/>
  </w:num>
  <w:num w:numId="4">
    <w:abstractNumId w:val="6"/>
  </w:num>
  <w:num w:numId="5">
    <w:abstractNumId w:val="4"/>
  </w:num>
  <w:num w:numId="6">
    <w:abstractNumId w:val="2"/>
  </w:num>
  <w:num w:numId="7">
    <w:abstractNumId w:val="9"/>
  </w:num>
  <w:num w:numId="8">
    <w:abstractNumId w:val="18"/>
  </w:num>
  <w:num w:numId="9">
    <w:abstractNumId w:val="17"/>
  </w:num>
  <w:num w:numId="10">
    <w:abstractNumId w:val="15"/>
  </w:num>
  <w:num w:numId="11">
    <w:abstractNumId w:val="1"/>
  </w:num>
  <w:num w:numId="12">
    <w:abstractNumId w:val="11"/>
  </w:num>
  <w:num w:numId="13">
    <w:abstractNumId w:val="8"/>
  </w:num>
  <w:num w:numId="14">
    <w:abstractNumId w:val="12"/>
  </w:num>
  <w:num w:numId="15">
    <w:abstractNumId w:val="10"/>
  </w:num>
  <w:num w:numId="16">
    <w:abstractNumId w:val="5"/>
  </w:num>
  <w:num w:numId="17">
    <w:abstractNumId w:val="13"/>
  </w:num>
  <w:num w:numId="18">
    <w:abstractNumId w:val="14"/>
  </w:num>
  <w:num w:numId="19">
    <w:abstractNumId w:val="19"/>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88D"/>
    <w:rsid w:val="000328E4"/>
    <w:rsid w:val="000501E9"/>
    <w:rsid w:val="00066CAA"/>
    <w:rsid w:val="000A42A9"/>
    <w:rsid w:val="000B28AD"/>
    <w:rsid w:val="000C4796"/>
    <w:rsid w:val="000E5AC7"/>
    <w:rsid w:val="001457EF"/>
    <w:rsid w:val="001C1A1E"/>
    <w:rsid w:val="00227A5E"/>
    <w:rsid w:val="002427ED"/>
    <w:rsid w:val="002867B5"/>
    <w:rsid w:val="002A0FC8"/>
    <w:rsid w:val="002D67D0"/>
    <w:rsid w:val="002E45CB"/>
    <w:rsid w:val="00336411"/>
    <w:rsid w:val="003377B1"/>
    <w:rsid w:val="00345A50"/>
    <w:rsid w:val="0036388D"/>
    <w:rsid w:val="003A4DF1"/>
    <w:rsid w:val="004D2DF9"/>
    <w:rsid w:val="004E0694"/>
    <w:rsid w:val="00502F8C"/>
    <w:rsid w:val="00503147"/>
    <w:rsid w:val="00503235"/>
    <w:rsid w:val="00526260"/>
    <w:rsid w:val="00564969"/>
    <w:rsid w:val="005933BD"/>
    <w:rsid w:val="005B5ADF"/>
    <w:rsid w:val="005E0DA2"/>
    <w:rsid w:val="005E749E"/>
    <w:rsid w:val="005F0918"/>
    <w:rsid w:val="00602199"/>
    <w:rsid w:val="00652F37"/>
    <w:rsid w:val="00675B0C"/>
    <w:rsid w:val="00690371"/>
    <w:rsid w:val="006D0439"/>
    <w:rsid w:val="006F76E4"/>
    <w:rsid w:val="00751410"/>
    <w:rsid w:val="00753549"/>
    <w:rsid w:val="008111D4"/>
    <w:rsid w:val="00975973"/>
    <w:rsid w:val="00975F52"/>
    <w:rsid w:val="009F5D03"/>
    <w:rsid w:val="00A11D6A"/>
    <w:rsid w:val="00A420D7"/>
    <w:rsid w:val="00A713E9"/>
    <w:rsid w:val="00AD1415"/>
    <w:rsid w:val="00B4756B"/>
    <w:rsid w:val="00B611C6"/>
    <w:rsid w:val="00B61D13"/>
    <w:rsid w:val="00B748A1"/>
    <w:rsid w:val="00B76A45"/>
    <w:rsid w:val="00B83BE5"/>
    <w:rsid w:val="00B842DC"/>
    <w:rsid w:val="00C00293"/>
    <w:rsid w:val="00C17AFB"/>
    <w:rsid w:val="00C40BD1"/>
    <w:rsid w:val="00C54A87"/>
    <w:rsid w:val="00C564F8"/>
    <w:rsid w:val="00D80B95"/>
    <w:rsid w:val="00D86825"/>
    <w:rsid w:val="00D97702"/>
    <w:rsid w:val="00DA01C1"/>
    <w:rsid w:val="00E16A81"/>
    <w:rsid w:val="00E4789A"/>
    <w:rsid w:val="00E47F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A87"/>
    <w:pPr>
      <w:spacing w:before="120" w:after="0"/>
      <w:jc w:val="both"/>
    </w:pPr>
    <w:rPr>
      <w:rFonts w:ascii="Arial" w:hAnsi="Arial"/>
    </w:rPr>
  </w:style>
  <w:style w:type="paragraph" w:styleId="Titre1">
    <w:name w:val="heading 1"/>
    <w:basedOn w:val="Normal"/>
    <w:next w:val="Normal"/>
    <w:link w:val="Titre1Car"/>
    <w:uiPriority w:val="9"/>
    <w:qFormat/>
    <w:rsid w:val="00345A5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45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1457EF"/>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1457EF"/>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1457EF"/>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3A4DF1"/>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0E5AC7"/>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E5AC7"/>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uiPriority w:val="34"/>
    <w:qFormat/>
    <w:rsid w:val="000E5AC7"/>
    <w:pPr>
      <w:ind w:left="720"/>
      <w:contextualSpacing/>
    </w:pPr>
  </w:style>
  <w:style w:type="character" w:customStyle="1" w:styleId="Titre2Car">
    <w:name w:val="Titre 2 Car"/>
    <w:basedOn w:val="Policepardfaut"/>
    <w:link w:val="Titre2"/>
    <w:uiPriority w:val="9"/>
    <w:rsid w:val="001457EF"/>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1457EF"/>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1457E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rsid w:val="001457EF"/>
    <w:rPr>
      <w:rFonts w:asciiTheme="majorHAnsi" w:eastAsiaTheme="majorEastAsia" w:hAnsiTheme="majorHAnsi" w:cstheme="majorBidi"/>
      <w:color w:val="243F60" w:themeColor="accent1" w:themeShade="7F"/>
    </w:rPr>
  </w:style>
  <w:style w:type="paragraph" w:styleId="Textedebulles">
    <w:name w:val="Balloon Text"/>
    <w:basedOn w:val="Normal"/>
    <w:link w:val="TextedebullesCar"/>
    <w:uiPriority w:val="99"/>
    <w:semiHidden/>
    <w:unhideWhenUsed/>
    <w:rsid w:val="00345A50"/>
    <w:pPr>
      <w:spacing w:before="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45A50"/>
    <w:rPr>
      <w:rFonts w:ascii="Tahoma" w:hAnsi="Tahoma" w:cs="Tahoma"/>
      <w:sz w:val="16"/>
      <w:szCs w:val="16"/>
    </w:rPr>
  </w:style>
  <w:style w:type="character" w:customStyle="1" w:styleId="Titre1Car">
    <w:name w:val="Titre 1 Car"/>
    <w:basedOn w:val="Policepardfaut"/>
    <w:link w:val="Titre1"/>
    <w:uiPriority w:val="9"/>
    <w:rsid w:val="00345A50"/>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iPriority w:val="99"/>
    <w:semiHidden/>
    <w:unhideWhenUsed/>
    <w:rsid w:val="00345A50"/>
    <w:rPr>
      <w:sz w:val="16"/>
      <w:szCs w:val="16"/>
    </w:rPr>
  </w:style>
  <w:style w:type="paragraph" w:styleId="Commentaire">
    <w:name w:val="annotation text"/>
    <w:basedOn w:val="Normal"/>
    <w:link w:val="CommentaireCar"/>
    <w:uiPriority w:val="99"/>
    <w:semiHidden/>
    <w:unhideWhenUsed/>
    <w:rsid w:val="00345A50"/>
    <w:pPr>
      <w:spacing w:line="240" w:lineRule="auto"/>
    </w:pPr>
    <w:rPr>
      <w:sz w:val="20"/>
      <w:szCs w:val="20"/>
    </w:rPr>
  </w:style>
  <w:style w:type="character" w:customStyle="1" w:styleId="CommentaireCar">
    <w:name w:val="Commentaire Car"/>
    <w:basedOn w:val="Policepardfaut"/>
    <w:link w:val="Commentaire"/>
    <w:uiPriority w:val="99"/>
    <w:semiHidden/>
    <w:rsid w:val="00345A50"/>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345A50"/>
    <w:rPr>
      <w:b/>
      <w:bCs/>
    </w:rPr>
  </w:style>
  <w:style w:type="character" w:customStyle="1" w:styleId="ObjetducommentaireCar">
    <w:name w:val="Objet du commentaire Car"/>
    <w:basedOn w:val="CommentaireCar"/>
    <w:link w:val="Objetducommentaire"/>
    <w:uiPriority w:val="99"/>
    <w:semiHidden/>
    <w:rsid w:val="00345A50"/>
    <w:rPr>
      <w:rFonts w:ascii="Arial" w:hAnsi="Arial"/>
      <w:b/>
      <w:bCs/>
      <w:sz w:val="20"/>
      <w:szCs w:val="20"/>
    </w:rPr>
  </w:style>
  <w:style w:type="table" w:styleId="Grilledutableau">
    <w:name w:val="Table Grid"/>
    <w:basedOn w:val="TableauNormal"/>
    <w:uiPriority w:val="59"/>
    <w:rsid w:val="0034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1">
    <w:name w:val="Light Shading Accent 1"/>
    <w:basedOn w:val="TableauNormal"/>
    <w:uiPriority w:val="60"/>
    <w:rsid w:val="00345A5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Accent1">
    <w:name w:val="Light List Accent 1"/>
    <w:basedOn w:val="TableauNormal"/>
    <w:uiPriority w:val="61"/>
    <w:rsid w:val="0075354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Lienhypertexte">
    <w:name w:val="Hyperlink"/>
    <w:basedOn w:val="Policepardfaut"/>
    <w:uiPriority w:val="99"/>
    <w:unhideWhenUsed/>
    <w:rsid w:val="000328E4"/>
    <w:rPr>
      <w:color w:val="0000FF" w:themeColor="hyperlink"/>
      <w:u w:val="single"/>
    </w:rPr>
  </w:style>
  <w:style w:type="character" w:customStyle="1" w:styleId="Titre6Car">
    <w:name w:val="Titre 6 Car"/>
    <w:basedOn w:val="Policepardfaut"/>
    <w:link w:val="Titre6"/>
    <w:uiPriority w:val="9"/>
    <w:rsid w:val="003A4DF1"/>
    <w:rPr>
      <w:rFonts w:asciiTheme="majorHAnsi" w:eastAsiaTheme="majorEastAsia" w:hAnsiTheme="majorHAnsi" w:cstheme="majorBidi"/>
      <w:i/>
      <w:iCs/>
      <w:color w:val="243F60" w:themeColor="accent1" w:themeShade="7F"/>
    </w:rPr>
  </w:style>
  <w:style w:type="paragraph" w:styleId="NormalWeb">
    <w:name w:val="Normal (Web)"/>
    <w:basedOn w:val="Normal"/>
    <w:uiPriority w:val="99"/>
    <w:semiHidden/>
    <w:unhideWhenUsed/>
    <w:rsid w:val="002427ED"/>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2427ED"/>
  </w:style>
  <w:style w:type="character" w:styleId="AcronymeHTML">
    <w:name w:val="HTML Acronym"/>
    <w:basedOn w:val="Policepardfaut"/>
    <w:uiPriority w:val="99"/>
    <w:semiHidden/>
    <w:unhideWhenUsed/>
    <w:rsid w:val="002427ED"/>
  </w:style>
  <w:style w:type="paragraph" w:styleId="Notedebasdepage">
    <w:name w:val="footnote text"/>
    <w:basedOn w:val="Normal"/>
    <w:link w:val="NotedebasdepageCar"/>
    <w:uiPriority w:val="99"/>
    <w:semiHidden/>
    <w:unhideWhenUsed/>
    <w:rsid w:val="00336411"/>
    <w:pPr>
      <w:spacing w:before="0" w:line="240" w:lineRule="auto"/>
    </w:pPr>
    <w:rPr>
      <w:sz w:val="20"/>
      <w:szCs w:val="20"/>
    </w:rPr>
  </w:style>
  <w:style w:type="character" w:customStyle="1" w:styleId="NotedebasdepageCar">
    <w:name w:val="Note de bas de page Car"/>
    <w:basedOn w:val="Policepardfaut"/>
    <w:link w:val="Notedebasdepage"/>
    <w:uiPriority w:val="99"/>
    <w:semiHidden/>
    <w:rsid w:val="00336411"/>
    <w:rPr>
      <w:rFonts w:ascii="Arial" w:hAnsi="Arial"/>
      <w:sz w:val="20"/>
      <w:szCs w:val="20"/>
    </w:rPr>
  </w:style>
  <w:style w:type="character" w:styleId="Appelnotedebasdep">
    <w:name w:val="footnote reference"/>
    <w:basedOn w:val="Policepardfaut"/>
    <w:uiPriority w:val="99"/>
    <w:semiHidden/>
    <w:unhideWhenUsed/>
    <w:rsid w:val="00336411"/>
    <w:rPr>
      <w:vertAlign w:val="superscript"/>
    </w:rPr>
  </w:style>
  <w:style w:type="paragraph" w:styleId="En-tte">
    <w:name w:val="header"/>
    <w:basedOn w:val="Normal"/>
    <w:link w:val="En-tteCar"/>
    <w:uiPriority w:val="99"/>
    <w:unhideWhenUsed/>
    <w:rsid w:val="00C54A87"/>
    <w:pPr>
      <w:tabs>
        <w:tab w:val="center" w:pos="4536"/>
        <w:tab w:val="right" w:pos="9072"/>
      </w:tabs>
      <w:spacing w:before="0" w:line="240" w:lineRule="auto"/>
    </w:pPr>
  </w:style>
  <w:style w:type="character" w:customStyle="1" w:styleId="En-tteCar">
    <w:name w:val="En-tête Car"/>
    <w:basedOn w:val="Policepardfaut"/>
    <w:link w:val="En-tte"/>
    <w:uiPriority w:val="99"/>
    <w:rsid w:val="00C54A87"/>
    <w:rPr>
      <w:rFonts w:ascii="Arial" w:hAnsi="Arial"/>
    </w:rPr>
  </w:style>
  <w:style w:type="paragraph" w:styleId="Pieddepage">
    <w:name w:val="footer"/>
    <w:basedOn w:val="Normal"/>
    <w:link w:val="PieddepageCar"/>
    <w:uiPriority w:val="99"/>
    <w:unhideWhenUsed/>
    <w:rsid w:val="00C54A87"/>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C54A87"/>
    <w:rPr>
      <w:rFonts w:ascii="Arial" w:hAnsi="Arial"/>
    </w:rPr>
  </w:style>
  <w:style w:type="paragraph" w:customStyle="1" w:styleId="titre2plui">
    <w:name w:val="titre2plui"/>
    <w:basedOn w:val="Paragraphedeliste"/>
    <w:link w:val="titre2pluiCar"/>
    <w:qFormat/>
    <w:rsid w:val="00502F8C"/>
    <w:pPr>
      <w:numPr>
        <w:ilvl w:val="1"/>
        <w:numId w:val="13"/>
      </w:numPr>
      <w:spacing w:before="0" w:after="200"/>
    </w:pPr>
    <w:rPr>
      <w:rFonts w:ascii="Lucida Sans" w:eastAsia="Times New Roman" w:hAnsi="Lucida Sans" w:cs="Tahoma"/>
      <w:b/>
      <w:sz w:val="20"/>
      <w:szCs w:val="20"/>
      <w:lang w:eastAsia="fr-FR"/>
    </w:rPr>
  </w:style>
  <w:style w:type="character" w:customStyle="1" w:styleId="titre2pluiCar">
    <w:name w:val="titre2plui Car"/>
    <w:basedOn w:val="Policepardfaut"/>
    <w:link w:val="titre2plui"/>
    <w:rsid w:val="00502F8C"/>
    <w:rPr>
      <w:rFonts w:ascii="Lucida Sans" w:eastAsia="Times New Roman" w:hAnsi="Lucida Sans" w:cs="Tahoma"/>
      <w:b/>
      <w:sz w:val="20"/>
      <w:szCs w:val="20"/>
      <w:lang w:eastAsia="fr-FR"/>
    </w:rPr>
  </w:style>
  <w:style w:type="character" w:styleId="Lienhypertextesuivivisit">
    <w:name w:val="FollowedHyperlink"/>
    <w:basedOn w:val="Policepardfaut"/>
    <w:uiPriority w:val="99"/>
    <w:semiHidden/>
    <w:unhideWhenUsed/>
    <w:rsid w:val="00C0029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A87"/>
    <w:pPr>
      <w:spacing w:before="120" w:after="0"/>
      <w:jc w:val="both"/>
    </w:pPr>
    <w:rPr>
      <w:rFonts w:ascii="Arial" w:hAnsi="Arial"/>
    </w:rPr>
  </w:style>
  <w:style w:type="paragraph" w:styleId="Titre1">
    <w:name w:val="heading 1"/>
    <w:basedOn w:val="Normal"/>
    <w:next w:val="Normal"/>
    <w:link w:val="Titre1Car"/>
    <w:uiPriority w:val="9"/>
    <w:qFormat/>
    <w:rsid w:val="00345A5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45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1457EF"/>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1457EF"/>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1457EF"/>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3A4DF1"/>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0E5AC7"/>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E5AC7"/>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uiPriority w:val="34"/>
    <w:qFormat/>
    <w:rsid w:val="000E5AC7"/>
    <w:pPr>
      <w:ind w:left="720"/>
      <w:contextualSpacing/>
    </w:pPr>
  </w:style>
  <w:style w:type="character" w:customStyle="1" w:styleId="Titre2Car">
    <w:name w:val="Titre 2 Car"/>
    <w:basedOn w:val="Policepardfaut"/>
    <w:link w:val="Titre2"/>
    <w:uiPriority w:val="9"/>
    <w:rsid w:val="001457EF"/>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1457EF"/>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1457E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rsid w:val="001457EF"/>
    <w:rPr>
      <w:rFonts w:asciiTheme="majorHAnsi" w:eastAsiaTheme="majorEastAsia" w:hAnsiTheme="majorHAnsi" w:cstheme="majorBidi"/>
      <w:color w:val="243F60" w:themeColor="accent1" w:themeShade="7F"/>
    </w:rPr>
  </w:style>
  <w:style w:type="paragraph" w:styleId="Textedebulles">
    <w:name w:val="Balloon Text"/>
    <w:basedOn w:val="Normal"/>
    <w:link w:val="TextedebullesCar"/>
    <w:uiPriority w:val="99"/>
    <w:semiHidden/>
    <w:unhideWhenUsed/>
    <w:rsid w:val="00345A50"/>
    <w:pPr>
      <w:spacing w:before="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45A50"/>
    <w:rPr>
      <w:rFonts w:ascii="Tahoma" w:hAnsi="Tahoma" w:cs="Tahoma"/>
      <w:sz w:val="16"/>
      <w:szCs w:val="16"/>
    </w:rPr>
  </w:style>
  <w:style w:type="character" w:customStyle="1" w:styleId="Titre1Car">
    <w:name w:val="Titre 1 Car"/>
    <w:basedOn w:val="Policepardfaut"/>
    <w:link w:val="Titre1"/>
    <w:uiPriority w:val="9"/>
    <w:rsid w:val="00345A50"/>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iPriority w:val="99"/>
    <w:semiHidden/>
    <w:unhideWhenUsed/>
    <w:rsid w:val="00345A50"/>
    <w:rPr>
      <w:sz w:val="16"/>
      <w:szCs w:val="16"/>
    </w:rPr>
  </w:style>
  <w:style w:type="paragraph" w:styleId="Commentaire">
    <w:name w:val="annotation text"/>
    <w:basedOn w:val="Normal"/>
    <w:link w:val="CommentaireCar"/>
    <w:uiPriority w:val="99"/>
    <w:semiHidden/>
    <w:unhideWhenUsed/>
    <w:rsid w:val="00345A50"/>
    <w:pPr>
      <w:spacing w:line="240" w:lineRule="auto"/>
    </w:pPr>
    <w:rPr>
      <w:sz w:val="20"/>
      <w:szCs w:val="20"/>
    </w:rPr>
  </w:style>
  <w:style w:type="character" w:customStyle="1" w:styleId="CommentaireCar">
    <w:name w:val="Commentaire Car"/>
    <w:basedOn w:val="Policepardfaut"/>
    <w:link w:val="Commentaire"/>
    <w:uiPriority w:val="99"/>
    <w:semiHidden/>
    <w:rsid w:val="00345A50"/>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345A50"/>
    <w:rPr>
      <w:b/>
      <w:bCs/>
    </w:rPr>
  </w:style>
  <w:style w:type="character" w:customStyle="1" w:styleId="ObjetducommentaireCar">
    <w:name w:val="Objet du commentaire Car"/>
    <w:basedOn w:val="CommentaireCar"/>
    <w:link w:val="Objetducommentaire"/>
    <w:uiPriority w:val="99"/>
    <w:semiHidden/>
    <w:rsid w:val="00345A50"/>
    <w:rPr>
      <w:rFonts w:ascii="Arial" w:hAnsi="Arial"/>
      <w:b/>
      <w:bCs/>
      <w:sz w:val="20"/>
      <w:szCs w:val="20"/>
    </w:rPr>
  </w:style>
  <w:style w:type="table" w:styleId="Grilledutableau">
    <w:name w:val="Table Grid"/>
    <w:basedOn w:val="TableauNormal"/>
    <w:uiPriority w:val="59"/>
    <w:rsid w:val="0034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1">
    <w:name w:val="Light Shading Accent 1"/>
    <w:basedOn w:val="TableauNormal"/>
    <w:uiPriority w:val="60"/>
    <w:rsid w:val="00345A5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Accent1">
    <w:name w:val="Light List Accent 1"/>
    <w:basedOn w:val="TableauNormal"/>
    <w:uiPriority w:val="61"/>
    <w:rsid w:val="0075354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Lienhypertexte">
    <w:name w:val="Hyperlink"/>
    <w:basedOn w:val="Policepardfaut"/>
    <w:uiPriority w:val="99"/>
    <w:unhideWhenUsed/>
    <w:rsid w:val="000328E4"/>
    <w:rPr>
      <w:color w:val="0000FF" w:themeColor="hyperlink"/>
      <w:u w:val="single"/>
    </w:rPr>
  </w:style>
  <w:style w:type="character" w:customStyle="1" w:styleId="Titre6Car">
    <w:name w:val="Titre 6 Car"/>
    <w:basedOn w:val="Policepardfaut"/>
    <w:link w:val="Titre6"/>
    <w:uiPriority w:val="9"/>
    <w:rsid w:val="003A4DF1"/>
    <w:rPr>
      <w:rFonts w:asciiTheme="majorHAnsi" w:eastAsiaTheme="majorEastAsia" w:hAnsiTheme="majorHAnsi" w:cstheme="majorBidi"/>
      <w:i/>
      <w:iCs/>
      <w:color w:val="243F60" w:themeColor="accent1" w:themeShade="7F"/>
    </w:rPr>
  </w:style>
  <w:style w:type="paragraph" w:styleId="NormalWeb">
    <w:name w:val="Normal (Web)"/>
    <w:basedOn w:val="Normal"/>
    <w:uiPriority w:val="99"/>
    <w:semiHidden/>
    <w:unhideWhenUsed/>
    <w:rsid w:val="002427ED"/>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2427ED"/>
  </w:style>
  <w:style w:type="character" w:styleId="AcronymeHTML">
    <w:name w:val="HTML Acronym"/>
    <w:basedOn w:val="Policepardfaut"/>
    <w:uiPriority w:val="99"/>
    <w:semiHidden/>
    <w:unhideWhenUsed/>
    <w:rsid w:val="002427ED"/>
  </w:style>
  <w:style w:type="paragraph" w:styleId="Notedebasdepage">
    <w:name w:val="footnote text"/>
    <w:basedOn w:val="Normal"/>
    <w:link w:val="NotedebasdepageCar"/>
    <w:uiPriority w:val="99"/>
    <w:semiHidden/>
    <w:unhideWhenUsed/>
    <w:rsid w:val="00336411"/>
    <w:pPr>
      <w:spacing w:before="0" w:line="240" w:lineRule="auto"/>
    </w:pPr>
    <w:rPr>
      <w:sz w:val="20"/>
      <w:szCs w:val="20"/>
    </w:rPr>
  </w:style>
  <w:style w:type="character" w:customStyle="1" w:styleId="NotedebasdepageCar">
    <w:name w:val="Note de bas de page Car"/>
    <w:basedOn w:val="Policepardfaut"/>
    <w:link w:val="Notedebasdepage"/>
    <w:uiPriority w:val="99"/>
    <w:semiHidden/>
    <w:rsid w:val="00336411"/>
    <w:rPr>
      <w:rFonts w:ascii="Arial" w:hAnsi="Arial"/>
      <w:sz w:val="20"/>
      <w:szCs w:val="20"/>
    </w:rPr>
  </w:style>
  <w:style w:type="character" w:styleId="Appelnotedebasdep">
    <w:name w:val="footnote reference"/>
    <w:basedOn w:val="Policepardfaut"/>
    <w:uiPriority w:val="99"/>
    <w:semiHidden/>
    <w:unhideWhenUsed/>
    <w:rsid w:val="00336411"/>
    <w:rPr>
      <w:vertAlign w:val="superscript"/>
    </w:rPr>
  </w:style>
  <w:style w:type="paragraph" w:styleId="En-tte">
    <w:name w:val="header"/>
    <w:basedOn w:val="Normal"/>
    <w:link w:val="En-tteCar"/>
    <w:uiPriority w:val="99"/>
    <w:unhideWhenUsed/>
    <w:rsid w:val="00C54A87"/>
    <w:pPr>
      <w:tabs>
        <w:tab w:val="center" w:pos="4536"/>
        <w:tab w:val="right" w:pos="9072"/>
      </w:tabs>
      <w:spacing w:before="0" w:line="240" w:lineRule="auto"/>
    </w:pPr>
  </w:style>
  <w:style w:type="character" w:customStyle="1" w:styleId="En-tteCar">
    <w:name w:val="En-tête Car"/>
    <w:basedOn w:val="Policepardfaut"/>
    <w:link w:val="En-tte"/>
    <w:uiPriority w:val="99"/>
    <w:rsid w:val="00C54A87"/>
    <w:rPr>
      <w:rFonts w:ascii="Arial" w:hAnsi="Arial"/>
    </w:rPr>
  </w:style>
  <w:style w:type="paragraph" w:styleId="Pieddepage">
    <w:name w:val="footer"/>
    <w:basedOn w:val="Normal"/>
    <w:link w:val="PieddepageCar"/>
    <w:uiPriority w:val="99"/>
    <w:unhideWhenUsed/>
    <w:rsid w:val="00C54A87"/>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C54A87"/>
    <w:rPr>
      <w:rFonts w:ascii="Arial" w:hAnsi="Arial"/>
    </w:rPr>
  </w:style>
  <w:style w:type="paragraph" w:customStyle="1" w:styleId="titre2plui">
    <w:name w:val="titre2plui"/>
    <w:basedOn w:val="Paragraphedeliste"/>
    <w:link w:val="titre2pluiCar"/>
    <w:qFormat/>
    <w:rsid w:val="00502F8C"/>
    <w:pPr>
      <w:numPr>
        <w:ilvl w:val="1"/>
        <w:numId w:val="13"/>
      </w:numPr>
      <w:spacing w:before="0" w:after="200"/>
    </w:pPr>
    <w:rPr>
      <w:rFonts w:ascii="Lucida Sans" w:eastAsia="Times New Roman" w:hAnsi="Lucida Sans" w:cs="Tahoma"/>
      <w:b/>
      <w:sz w:val="20"/>
      <w:szCs w:val="20"/>
      <w:lang w:eastAsia="fr-FR"/>
    </w:rPr>
  </w:style>
  <w:style w:type="character" w:customStyle="1" w:styleId="titre2pluiCar">
    <w:name w:val="titre2plui Car"/>
    <w:basedOn w:val="Policepardfaut"/>
    <w:link w:val="titre2plui"/>
    <w:rsid w:val="00502F8C"/>
    <w:rPr>
      <w:rFonts w:ascii="Lucida Sans" w:eastAsia="Times New Roman" w:hAnsi="Lucida Sans" w:cs="Tahoma"/>
      <w:b/>
      <w:sz w:val="20"/>
      <w:szCs w:val="20"/>
      <w:lang w:eastAsia="fr-FR"/>
    </w:rPr>
  </w:style>
  <w:style w:type="character" w:styleId="Lienhypertextesuivivisit">
    <w:name w:val="FollowedHyperlink"/>
    <w:basedOn w:val="Policepardfaut"/>
    <w:uiPriority w:val="99"/>
    <w:semiHidden/>
    <w:unhideWhenUsed/>
    <w:rsid w:val="00C002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58830">
      <w:bodyDiv w:val="1"/>
      <w:marLeft w:val="0"/>
      <w:marRight w:val="0"/>
      <w:marTop w:val="0"/>
      <w:marBottom w:val="0"/>
      <w:divBdr>
        <w:top w:val="none" w:sz="0" w:space="0" w:color="auto"/>
        <w:left w:val="none" w:sz="0" w:space="0" w:color="auto"/>
        <w:bottom w:val="none" w:sz="0" w:space="0" w:color="auto"/>
        <w:right w:val="none" w:sz="0" w:space="0" w:color="auto"/>
      </w:divBdr>
    </w:div>
    <w:div w:id="125242455">
      <w:bodyDiv w:val="1"/>
      <w:marLeft w:val="0"/>
      <w:marRight w:val="0"/>
      <w:marTop w:val="0"/>
      <w:marBottom w:val="0"/>
      <w:divBdr>
        <w:top w:val="none" w:sz="0" w:space="0" w:color="auto"/>
        <w:left w:val="none" w:sz="0" w:space="0" w:color="auto"/>
        <w:bottom w:val="none" w:sz="0" w:space="0" w:color="auto"/>
        <w:right w:val="none" w:sz="0" w:space="0" w:color="auto"/>
      </w:divBdr>
    </w:div>
    <w:div w:id="213741903">
      <w:bodyDiv w:val="1"/>
      <w:marLeft w:val="0"/>
      <w:marRight w:val="0"/>
      <w:marTop w:val="0"/>
      <w:marBottom w:val="0"/>
      <w:divBdr>
        <w:top w:val="none" w:sz="0" w:space="0" w:color="auto"/>
        <w:left w:val="none" w:sz="0" w:space="0" w:color="auto"/>
        <w:bottom w:val="none" w:sz="0" w:space="0" w:color="auto"/>
        <w:right w:val="none" w:sz="0" w:space="0" w:color="auto"/>
      </w:divBdr>
    </w:div>
    <w:div w:id="555551727">
      <w:bodyDiv w:val="1"/>
      <w:marLeft w:val="0"/>
      <w:marRight w:val="0"/>
      <w:marTop w:val="0"/>
      <w:marBottom w:val="0"/>
      <w:divBdr>
        <w:top w:val="none" w:sz="0" w:space="0" w:color="auto"/>
        <w:left w:val="none" w:sz="0" w:space="0" w:color="auto"/>
        <w:bottom w:val="none" w:sz="0" w:space="0" w:color="auto"/>
        <w:right w:val="none" w:sz="0" w:space="0" w:color="auto"/>
      </w:divBdr>
    </w:div>
    <w:div w:id="710809812">
      <w:bodyDiv w:val="1"/>
      <w:marLeft w:val="0"/>
      <w:marRight w:val="0"/>
      <w:marTop w:val="0"/>
      <w:marBottom w:val="0"/>
      <w:divBdr>
        <w:top w:val="none" w:sz="0" w:space="0" w:color="auto"/>
        <w:left w:val="none" w:sz="0" w:space="0" w:color="auto"/>
        <w:bottom w:val="none" w:sz="0" w:space="0" w:color="auto"/>
        <w:right w:val="none" w:sz="0" w:space="0" w:color="auto"/>
      </w:divBdr>
    </w:div>
    <w:div w:id="712660696">
      <w:bodyDiv w:val="1"/>
      <w:marLeft w:val="0"/>
      <w:marRight w:val="0"/>
      <w:marTop w:val="0"/>
      <w:marBottom w:val="0"/>
      <w:divBdr>
        <w:top w:val="none" w:sz="0" w:space="0" w:color="auto"/>
        <w:left w:val="none" w:sz="0" w:space="0" w:color="auto"/>
        <w:bottom w:val="none" w:sz="0" w:space="0" w:color="auto"/>
        <w:right w:val="none" w:sz="0" w:space="0" w:color="auto"/>
      </w:divBdr>
    </w:div>
    <w:div w:id="1028481241">
      <w:bodyDiv w:val="1"/>
      <w:marLeft w:val="0"/>
      <w:marRight w:val="0"/>
      <w:marTop w:val="0"/>
      <w:marBottom w:val="0"/>
      <w:divBdr>
        <w:top w:val="none" w:sz="0" w:space="0" w:color="auto"/>
        <w:left w:val="none" w:sz="0" w:space="0" w:color="auto"/>
        <w:bottom w:val="none" w:sz="0" w:space="0" w:color="auto"/>
        <w:right w:val="none" w:sz="0" w:space="0" w:color="auto"/>
      </w:divBdr>
    </w:div>
    <w:div w:id="1158381145">
      <w:bodyDiv w:val="1"/>
      <w:marLeft w:val="0"/>
      <w:marRight w:val="0"/>
      <w:marTop w:val="0"/>
      <w:marBottom w:val="0"/>
      <w:divBdr>
        <w:top w:val="none" w:sz="0" w:space="0" w:color="auto"/>
        <w:left w:val="none" w:sz="0" w:space="0" w:color="auto"/>
        <w:bottom w:val="none" w:sz="0" w:space="0" w:color="auto"/>
        <w:right w:val="none" w:sz="0" w:space="0" w:color="auto"/>
      </w:divBdr>
    </w:div>
    <w:div w:id="1178422127">
      <w:bodyDiv w:val="1"/>
      <w:marLeft w:val="0"/>
      <w:marRight w:val="0"/>
      <w:marTop w:val="0"/>
      <w:marBottom w:val="0"/>
      <w:divBdr>
        <w:top w:val="none" w:sz="0" w:space="0" w:color="auto"/>
        <w:left w:val="none" w:sz="0" w:space="0" w:color="auto"/>
        <w:bottom w:val="none" w:sz="0" w:space="0" w:color="auto"/>
        <w:right w:val="none" w:sz="0" w:space="0" w:color="auto"/>
      </w:divBdr>
    </w:div>
    <w:div w:id="1278875122">
      <w:bodyDiv w:val="1"/>
      <w:marLeft w:val="0"/>
      <w:marRight w:val="0"/>
      <w:marTop w:val="0"/>
      <w:marBottom w:val="0"/>
      <w:divBdr>
        <w:top w:val="none" w:sz="0" w:space="0" w:color="auto"/>
        <w:left w:val="none" w:sz="0" w:space="0" w:color="auto"/>
        <w:bottom w:val="none" w:sz="0" w:space="0" w:color="auto"/>
        <w:right w:val="none" w:sz="0" w:space="0" w:color="auto"/>
      </w:divBdr>
    </w:div>
    <w:div w:id="1293026119">
      <w:bodyDiv w:val="1"/>
      <w:marLeft w:val="0"/>
      <w:marRight w:val="0"/>
      <w:marTop w:val="0"/>
      <w:marBottom w:val="0"/>
      <w:divBdr>
        <w:top w:val="none" w:sz="0" w:space="0" w:color="auto"/>
        <w:left w:val="none" w:sz="0" w:space="0" w:color="auto"/>
        <w:bottom w:val="none" w:sz="0" w:space="0" w:color="auto"/>
        <w:right w:val="none" w:sz="0" w:space="0" w:color="auto"/>
      </w:divBdr>
    </w:div>
    <w:div w:id="1355227765">
      <w:bodyDiv w:val="1"/>
      <w:marLeft w:val="0"/>
      <w:marRight w:val="0"/>
      <w:marTop w:val="0"/>
      <w:marBottom w:val="0"/>
      <w:divBdr>
        <w:top w:val="none" w:sz="0" w:space="0" w:color="auto"/>
        <w:left w:val="none" w:sz="0" w:space="0" w:color="auto"/>
        <w:bottom w:val="none" w:sz="0" w:space="0" w:color="auto"/>
        <w:right w:val="none" w:sz="0" w:space="0" w:color="auto"/>
      </w:divBdr>
    </w:div>
    <w:div w:id="1666204446">
      <w:bodyDiv w:val="1"/>
      <w:marLeft w:val="0"/>
      <w:marRight w:val="0"/>
      <w:marTop w:val="0"/>
      <w:marBottom w:val="0"/>
      <w:divBdr>
        <w:top w:val="none" w:sz="0" w:space="0" w:color="auto"/>
        <w:left w:val="none" w:sz="0" w:space="0" w:color="auto"/>
        <w:bottom w:val="none" w:sz="0" w:space="0" w:color="auto"/>
        <w:right w:val="none" w:sz="0" w:space="0" w:color="auto"/>
      </w:divBdr>
    </w:div>
    <w:div w:id="1786072317">
      <w:bodyDiv w:val="1"/>
      <w:marLeft w:val="0"/>
      <w:marRight w:val="0"/>
      <w:marTop w:val="0"/>
      <w:marBottom w:val="0"/>
      <w:divBdr>
        <w:top w:val="none" w:sz="0" w:space="0" w:color="auto"/>
        <w:left w:val="none" w:sz="0" w:space="0" w:color="auto"/>
        <w:bottom w:val="none" w:sz="0" w:space="0" w:color="auto"/>
        <w:right w:val="none" w:sz="0" w:space="0" w:color="auto"/>
      </w:divBdr>
    </w:div>
    <w:div w:id="1955332289">
      <w:bodyDiv w:val="1"/>
      <w:marLeft w:val="0"/>
      <w:marRight w:val="0"/>
      <w:marTop w:val="0"/>
      <w:marBottom w:val="0"/>
      <w:divBdr>
        <w:top w:val="none" w:sz="0" w:space="0" w:color="auto"/>
        <w:left w:val="none" w:sz="0" w:space="0" w:color="auto"/>
        <w:bottom w:val="none" w:sz="0" w:space="0" w:color="auto"/>
        <w:right w:val="none" w:sz="0" w:space="0" w:color="auto"/>
      </w:divBdr>
    </w:div>
    <w:div w:id="1964461157">
      <w:bodyDiv w:val="1"/>
      <w:marLeft w:val="0"/>
      <w:marRight w:val="0"/>
      <w:marTop w:val="0"/>
      <w:marBottom w:val="0"/>
      <w:divBdr>
        <w:top w:val="none" w:sz="0" w:space="0" w:color="auto"/>
        <w:left w:val="none" w:sz="0" w:space="0" w:color="auto"/>
        <w:bottom w:val="none" w:sz="0" w:space="0" w:color="auto"/>
        <w:right w:val="none" w:sz="0" w:space="0" w:color="auto"/>
      </w:divBdr>
    </w:div>
    <w:div w:id="208668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www.unccas.org/unccas/ccas-cias.asp"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4C18F-BB8E-47D0-90BF-950A783F5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6</Pages>
  <Words>2251</Words>
  <Characters>12386</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Christ</dc:creator>
  <cp:keywords/>
  <dc:description/>
  <cp:lastModifiedBy>Sophie Christ</cp:lastModifiedBy>
  <cp:revision>12</cp:revision>
  <dcterms:created xsi:type="dcterms:W3CDTF">2015-07-17T13:21:00Z</dcterms:created>
  <dcterms:modified xsi:type="dcterms:W3CDTF">2015-07-23T09:44:00Z</dcterms:modified>
</cp:coreProperties>
</file>