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3C4" w:rsidRPr="0074752C" w:rsidRDefault="000F63C4" w:rsidP="0074752C">
      <w:pPr>
        <w:spacing w:before="0"/>
        <w:rPr>
          <w:rFonts w:asciiTheme="majorHAnsi" w:hAnsiTheme="majorHAnsi"/>
          <w:b/>
          <w:sz w:val="40"/>
          <w:szCs w:val="40"/>
        </w:rPr>
      </w:pPr>
      <w:r w:rsidRPr="0074752C">
        <w:rPr>
          <w:rFonts w:asciiTheme="majorHAnsi" w:hAnsiTheme="majorHAnsi"/>
          <w:b/>
          <w:sz w:val="40"/>
          <w:szCs w:val="40"/>
        </w:rPr>
        <w:t>THEMATIQUE SANTE</w:t>
      </w:r>
    </w:p>
    <w:p w:rsidR="0013068A" w:rsidRPr="002F071C" w:rsidRDefault="0074752C" w:rsidP="00E4776C">
      <w:r w:rsidRPr="0074752C">
        <w:t>Pour l’</w:t>
      </w:r>
      <w:r w:rsidR="00E4776C" w:rsidRPr="0074752C">
        <w:t>analyse</w:t>
      </w:r>
      <w:r w:rsidR="00E4776C" w:rsidRPr="002F071C">
        <w:t xml:space="preserve"> du niveau d’équipements et de services d’action sociale d’une commune ou d’une intercommunalité dans le cadre d’un document d’urbanisme type PLU ou PLUi, </w:t>
      </w:r>
      <w:r w:rsidR="00AF5050">
        <w:t>nous nous basons sur la BPE 2014</w:t>
      </w:r>
      <w:r w:rsidR="00E4776C" w:rsidRPr="002F071C">
        <w:t xml:space="preserve"> de l’INSEE en reprenant les mêmes variables : </w:t>
      </w:r>
    </w:p>
    <w:p w:rsidR="0013068A" w:rsidRPr="002F071C" w:rsidRDefault="0013068A" w:rsidP="0013068A">
      <w:pPr>
        <w:spacing w:before="0"/>
      </w:pPr>
    </w:p>
    <w:tbl>
      <w:tblPr>
        <w:tblStyle w:val="Listeclaire-Accent1"/>
        <w:tblW w:w="0" w:type="auto"/>
        <w:tblLook w:val="04A0" w:firstRow="1" w:lastRow="0" w:firstColumn="1" w:lastColumn="0" w:noHBand="0" w:noVBand="1"/>
      </w:tblPr>
      <w:tblGrid>
        <w:gridCol w:w="3085"/>
        <w:gridCol w:w="6877"/>
      </w:tblGrid>
      <w:tr w:rsidR="0013068A" w:rsidRPr="002F071C" w:rsidTr="007475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13068A" w:rsidRPr="002F071C" w:rsidRDefault="0013068A" w:rsidP="000F63C4">
            <w:r w:rsidRPr="002F071C">
              <w:t xml:space="preserve">Catégorie d’équipement </w:t>
            </w:r>
          </w:p>
        </w:tc>
        <w:tc>
          <w:tcPr>
            <w:tcW w:w="6877" w:type="dxa"/>
          </w:tcPr>
          <w:p w:rsidR="0013068A" w:rsidRPr="002F071C" w:rsidRDefault="0013068A" w:rsidP="000F63C4">
            <w:pPr>
              <w:cnfStyle w:val="100000000000" w:firstRow="1" w:lastRow="0" w:firstColumn="0" w:lastColumn="0" w:oddVBand="0" w:evenVBand="0" w:oddHBand="0" w:evenHBand="0" w:firstRowFirstColumn="0" w:firstRowLastColumn="0" w:lastRowFirstColumn="0" w:lastRowLastColumn="0"/>
            </w:pPr>
            <w:r w:rsidRPr="002F071C">
              <w:t xml:space="preserve">Équipement </w:t>
            </w:r>
          </w:p>
        </w:tc>
      </w:tr>
      <w:tr w:rsidR="0013068A" w:rsidRPr="002F071C" w:rsidTr="00747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13068A" w:rsidRPr="002F071C" w:rsidRDefault="0013068A" w:rsidP="000F63C4">
            <w:r w:rsidRPr="002F071C">
              <w:t xml:space="preserve">Établissements de santé </w:t>
            </w:r>
          </w:p>
        </w:tc>
        <w:tc>
          <w:tcPr>
            <w:tcW w:w="6877" w:type="dxa"/>
          </w:tcPr>
          <w:p w:rsidR="0013068A" w:rsidRPr="002F071C" w:rsidRDefault="00F37340" w:rsidP="000F63C4">
            <w:pPr>
              <w:cnfStyle w:val="000000100000" w:firstRow="0" w:lastRow="0" w:firstColumn="0" w:lastColumn="0" w:oddVBand="0" w:evenVBand="0" w:oddHBand="1" w:evenHBand="0" w:firstRowFirstColumn="0" w:firstRowLastColumn="0" w:lastRowFirstColumn="0" w:lastRowLastColumn="0"/>
            </w:pPr>
            <w:r w:rsidRPr="002F071C">
              <w:t xml:space="preserve">Court, </w:t>
            </w:r>
            <w:r w:rsidR="0013068A" w:rsidRPr="002F071C">
              <w:t>moyen</w:t>
            </w:r>
            <w:r w:rsidRPr="002F071C">
              <w:t>,</w:t>
            </w:r>
            <w:r w:rsidR="0013068A" w:rsidRPr="002F071C">
              <w:t xml:space="preserve"> long </w:t>
            </w:r>
            <w:r w:rsidRPr="002F071C">
              <w:t xml:space="preserve">séjour – </w:t>
            </w:r>
            <w:r w:rsidR="0013068A" w:rsidRPr="002F071C">
              <w:t>établissement psychiatrique</w:t>
            </w:r>
            <w:r w:rsidRPr="002F071C">
              <w:t xml:space="preserve"> –</w:t>
            </w:r>
            <w:r w:rsidR="0013068A" w:rsidRPr="002F071C">
              <w:t xml:space="preserve"> centre</w:t>
            </w:r>
            <w:r w:rsidRPr="002F071C">
              <w:t xml:space="preserve"> de lutte contre le cancer –</w:t>
            </w:r>
            <w:r w:rsidR="0013068A" w:rsidRPr="002F071C">
              <w:t xml:space="preserve"> urgences</w:t>
            </w:r>
            <w:r w:rsidRPr="002F071C">
              <w:t xml:space="preserve"> – maternité – centre de santé –</w:t>
            </w:r>
            <w:r w:rsidR="0013068A" w:rsidRPr="002F071C">
              <w:t xml:space="preserve"> structure</w:t>
            </w:r>
            <w:r w:rsidRPr="002F071C">
              <w:t xml:space="preserve"> psychiatrique en ambulatoire –</w:t>
            </w:r>
            <w:r w:rsidR="0013068A" w:rsidRPr="002F071C">
              <w:t xml:space="preserve"> centre</w:t>
            </w:r>
            <w:r w:rsidRPr="002F071C">
              <w:t xml:space="preserve"> de médecine préventive – dialyse –</w:t>
            </w:r>
            <w:r w:rsidR="0013068A" w:rsidRPr="002F071C">
              <w:t xml:space="preserve"> hospitalisation</w:t>
            </w:r>
            <w:r w:rsidRPr="002F071C">
              <w:t xml:space="preserve"> à domicile – </w:t>
            </w:r>
            <w:r w:rsidR="0013068A" w:rsidRPr="002F071C">
              <w:t xml:space="preserve">maison de santé pluridisciplinaires </w:t>
            </w:r>
          </w:p>
        </w:tc>
      </w:tr>
      <w:tr w:rsidR="0013068A" w:rsidRPr="002F071C" w:rsidTr="0074752C">
        <w:tc>
          <w:tcPr>
            <w:cnfStyle w:val="001000000000" w:firstRow="0" w:lastRow="0" w:firstColumn="1" w:lastColumn="0" w:oddVBand="0" w:evenVBand="0" w:oddHBand="0" w:evenHBand="0" w:firstRowFirstColumn="0" w:firstRowLastColumn="0" w:lastRowFirstColumn="0" w:lastRowLastColumn="0"/>
            <w:tcW w:w="3085" w:type="dxa"/>
          </w:tcPr>
          <w:p w:rsidR="0013068A" w:rsidRPr="002F071C" w:rsidRDefault="0013068A" w:rsidP="000F63C4">
            <w:r w:rsidRPr="002F071C">
              <w:t>Autres établissements et services à caractère sanitaire</w:t>
            </w:r>
          </w:p>
        </w:tc>
        <w:tc>
          <w:tcPr>
            <w:tcW w:w="6877" w:type="dxa"/>
          </w:tcPr>
          <w:p w:rsidR="0013068A" w:rsidRPr="002F071C" w:rsidRDefault="00F37340" w:rsidP="000F63C4">
            <w:pPr>
              <w:cnfStyle w:val="000000000000" w:firstRow="0" w:lastRow="0" w:firstColumn="0" w:lastColumn="0" w:oddVBand="0" w:evenVBand="0" w:oddHBand="0" w:evenHBand="0" w:firstRowFirstColumn="0" w:firstRowLastColumn="0" w:lastRowFirstColumn="0" w:lastRowLastColumn="0"/>
            </w:pPr>
            <w:r w:rsidRPr="002F071C">
              <w:t xml:space="preserve">Pharmacie, Laboratoire d’analyses médicales, transfusion sanguine, ambulance, établissement thermal, établissement lutte contre l’alcoolisme </w:t>
            </w:r>
          </w:p>
        </w:tc>
      </w:tr>
      <w:tr w:rsidR="0013068A" w:rsidRPr="002F071C" w:rsidTr="007475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13068A" w:rsidRPr="002F071C" w:rsidRDefault="0013068A" w:rsidP="000F63C4">
            <w:r w:rsidRPr="002F071C">
              <w:t>Praticiens</w:t>
            </w:r>
          </w:p>
        </w:tc>
        <w:tc>
          <w:tcPr>
            <w:tcW w:w="6877" w:type="dxa"/>
          </w:tcPr>
          <w:p w:rsidR="0013068A" w:rsidRPr="002F071C" w:rsidRDefault="00F37340" w:rsidP="000F63C4">
            <w:pPr>
              <w:cnfStyle w:val="000000100000" w:firstRow="0" w:lastRow="0" w:firstColumn="0" w:lastColumn="0" w:oddVBand="0" w:evenVBand="0" w:oddHBand="1" w:evenHBand="0" w:firstRowFirstColumn="0" w:firstRowLastColumn="0" w:lastRowFirstColumn="0" w:lastRowLastColumn="0"/>
            </w:pPr>
            <w:r w:rsidRPr="002F071C">
              <w:t xml:space="preserve">Médecins omnipraticiens – Médecins spécialistes (pédiatrie, cardiologie, dermatologie, gynécologie, gastro-entérologie, psychiatrie, ophtalmologie, oto-rhino-laryngologie, pneumologie, radiodiagnostic et imagerie médicale, stomatologie) – Chirurgien-dentiste </w:t>
            </w:r>
          </w:p>
        </w:tc>
      </w:tr>
      <w:tr w:rsidR="0013068A" w:rsidRPr="002F071C" w:rsidTr="0074752C">
        <w:tc>
          <w:tcPr>
            <w:cnfStyle w:val="001000000000" w:firstRow="0" w:lastRow="0" w:firstColumn="1" w:lastColumn="0" w:oddVBand="0" w:evenVBand="0" w:oddHBand="0" w:evenHBand="0" w:firstRowFirstColumn="0" w:firstRowLastColumn="0" w:lastRowFirstColumn="0" w:lastRowLastColumn="0"/>
            <w:tcW w:w="3085" w:type="dxa"/>
          </w:tcPr>
          <w:p w:rsidR="0013068A" w:rsidRPr="002F071C" w:rsidRDefault="0013068A" w:rsidP="000F63C4">
            <w:r w:rsidRPr="002F071C">
              <w:t>Auxiliaires de santé</w:t>
            </w:r>
          </w:p>
        </w:tc>
        <w:tc>
          <w:tcPr>
            <w:tcW w:w="6877" w:type="dxa"/>
          </w:tcPr>
          <w:p w:rsidR="0013068A" w:rsidRPr="002F071C" w:rsidRDefault="00F37340" w:rsidP="000F63C4">
            <w:pPr>
              <w:cnfStyle w:val="000000000000" w:firstRow="0" w:lastRow="0" w:firstColumn="0" w:lastColumn="0" w:oddVBand="0" w:evenVBand="0" w:oddHBand="0" w:evenHBand="0" w:firstRowFirstColumn="0" w:firstRowLastColumn="0" w:lastRowFirstColumn="0" w:lastRowLastColumn="0"/>
            </w:pPr>
            <w:r w:rsidRPr="002F071C">
              <w:t xml:space="preserve">Sage-femme – infirmiers – Masseur kinésithérapeute – pédicure-podologue  ― Audio prothésiste – Ergothérapeute – Psychomotricien </w:t>
            </w:r>
          </w:p>
        </w:tc>
      </w:tr>
    </w:tbl>
    <w:p w:rsidR="0074752C" w:rsidRPr="0074752C" w:rsidRDefault="0074752C" w:rsidP="000F63C4">
      <w:pPr>
        <w:rPr>
          <w:rFonts w:asciiTheme="majorHAnsi" w:hAnsiTheme="majorHAnsi"/>
          <w:b/>
          <w:sz w:val="28"/>
          <w:szCs w:val="24"/>
        </w:rPr>
      </w:pPr>
    </w:p>
    <w:p w:rsidR="00644D75" w:rsidRDefault="00644D75" w:rsidP="000F63C4">
      <w:pPr>
        <w:rPr>
          <w:rFonts w:asciiTheme="majorHAnsi" w:hAnsiTheme="majorHAnsi"/>
          <w:b/>
          <w:sz w:val="28"/>
          <w:szCs w:val="24"/>
        </w:rPr>
      </w:pPr>
      <w:r>
        <w:rPr>
          <w:rFonts w:asciiTheme="majorHAnsi" w:hAnsiTheme="majorHAnsi"/>
          <w:b/>
          <w:sz w:val="28"/>
          <w:szCs w:val="24"/>
        </w:rPr>
        <w:t xml:space="preserve">Rédaction </w:t>
      </w:r>
    </w:p>
    <w:p w:rsidR="00644D75" w:rsidRPr="00644D75" w:rsidRDefault="00644D75" w:rsidP="000F63C4">
      <w:r>
        <w:t xml:space="preserve">La partie peut être divisée en plusieurs sous-parties suivant le rayonnement des équipements et de services de santé de la commune. Les équipements et services de proximité sont les plus importants. Ils prennent en compte les médecins généralistes, les infirmiers, les chirurgiens-dentistes et les kinésithérapeutes. </w:t>
      </w:r>
    </w:p>
    <w:p w:rsidR="0074752C" w:rsidRPr="0074752C" w:rsidRDefault="0074752C" w:rsidP="000F63C4">
      <w:pPr>
        <w:rPr>
          <w:rFonts w:asciiTheme="majorHAnsi" w:hAnsiTheme="majorHAnsi"/>
          <w:b/>
          <w:sz w:val="28"/>
          <w:szCs w:val="24"/>
        </w:rPr>
      </w:pPr>
      <w:r w:rsidRPr="0074752C">
        <w:rPr>
          <w:rFonts w:asciiTheme="majorHAnsi" w:hAnsiTheme="majorHAnsi"/>
          <w:b/>
          <w:sz w:val="28"/>
          <w:szCs w:val="24"/>
        </w:rPr>
        <w:t>Document Cadre</w:t>
      </w:r>
      <w:r w:rsidR="004A1545">
        <w:rPr>
          <w:rFonts w:asciiTheme="majorHAnsi" w:hAnsiTheme="majorHAnsi"/>
          <w:b/>
          <w:sz w:val="28"/>
          <w:szCs w:val="24"/>
        </w:rPr>
        <w:t> </w:t>
      </w:r>
    </w:p>
    <w:p w:rsidR="007E19AB" w:rsidRPr="007E19AB" w:rsidRDefault="007E19AB" w:rsidP="00756A41">
      <w:r>
        <w:t xml:space="preserve">Le domaine de la santé et ses équipements tient de la compétence régionale. C’est l’ARS (association régionale de santé) de Franche Comté qui a pour mission de mettre en place la politique de santé de la région. </w:t>
      </w:r>
      <w:r w:rsidRPr="002F071C">
        <w:t xml:space="preserve">La direction générale de l’offre de soin a permis la création des ARS.  </w:t>
      </w:r>
    </w:p>
    <w:p w:rsidR="004A1545" w:rsidRPr="004A1545" w:rsidRDefault="004A1545" w:rsidP="00756A41">
      <w:pPr>
        <w:rPr>
          <w:u w:val="single"/>
        </w:rPr>
      </w:pPr>
      <w:r w:rsidRPr="004A1545">
        <w:rPr>
          <w:u w:val="single"/>
        </w:rPr>
        <w:t xml:space="preserve">Le schéma régional d’organisation des soins </w:t>
      </w:r>
    </w:p>
    <w:p w:rsidR="004A1545" w:rsidRDefault="004A1545" w:rsidP="00756A41">
      <w:r>
        <w:t xml:space="preserve">Outil de planification opérationnel, il comporte deux parties </w:t>
      </w:r>
      <w:r>
        <w:t xml:space="preserve">à l’article R. 1434-4 du code de la santé publique : </w:t>
      </w:r>
    </w:p>
    <w:p w:rsidR="004A1545" w:rsidRDefault="004A1545" w:rsidP="004A1545">
      <w:pPr>
        <w:pStyle w:val="Paragraphedeliste"/>
        <w:numPr>
          <w:ilvl w:val="0"/>
          <w:numId w:val="5"/>
        </w:numPr>
      </w:pPr>
      <w:r>
        <w:t xml:space="preserve">une partie relative à l'offre de soins définie à l'article L. 1434-9, opposable aux établissements de santé, aux autres titulaires d'autorisations d'activités de soins et d'équipements matériels lourds, ainsi qu'aux établissements et services qui sollicitent de telles autorisations ; </w:t>
      </w:r>
    </w:p>
    <w:p w:rsidR="004A1545" w:rsidRDefault="004A1545" w:rsidP="004A1545">
      <w:pPr>
        <w:pStyle w:val="Paragraphedeliste"/>
        <w:numPr>
          <w:ilvl w:val="0"/>
          <w:numId w:val="5"/>
        </w:numPr>
      </w:pPr>
      <w:r>
        <w:lastRenderedPageBreak/>
        <w:t>une partie relative à l'offre sanitaire des professionnels de santé libéraux, des maisons de santé, des centres de santé, des pôles de santé, des laboratoires de biologie médicale et des réseaux de santé.</w:t>
      </w:r>
    </w:p>
    <w:p w:rsidR="004A1545" w:rsidRDefault="004A1545" w:rsidP="004A1545">
      <w:r>
        <w:t xml:space="preserve">Ce schéma permet d’avoir l’ensemble des données pour chaque volet (médecine, médecine d’urgence, chirurgie, hospitalisation à domicile, soins de longue durée, psychiatrie, etc.) </w:t>
      </w:r>
    </w:p>
    <w:p w:rsidR="004A1545" w:rsidRDefault="004A1545" w:rsidP="004A1545">
      <w:r>
        <w:t xml:space="preserve">Type de données : taux de recours à la médecine, nombre de places, nombre d’établissements, effectifs en médecins libéraux, en infirmiers, en pharmacies, etc.) </w:t>
      </w:r>
    </w:p>
    <w:p w:rsidR="007E19AB" w:rsidRDefault="007E19AB" w:rsidP="004A1545">
      <w:pPr>
        <w:rPr>
          <w:u w:val="single"/>
        </w:rPr>
      </w:pPr>
      <w:r w:rsidRPr="007E19AB">
        <w:rPr>
          <w:u w:val="single"/>
        </w:rPr>
        <w:t>Le projet régional de santé – 2012-2016</w:t>
      </w:r>
      <w:r>
        <w:rPr>
          <w:rStyle w:val="Appelnotedebasdep"/>
          <w:u w:val="single"/>
        </w:rPr>
        <w:footnoteReference w:id="1"/>
      </w:r>
    </w:p>
    <w:p w:rsidR="007E19AB" w:rsidRDefault="00A90A71" w:rsidP="004A1545">
      <w:r w:rsidRPr="00A90A71">
        <w:t xml:space="preserve">Ce projet est un regroupement </w:t>
      </w:r>
      <w:r>
        <w:t>de plusieurs schémas :</w:t>
      </w:r>
    </w:p>
    <w:p w:rsidR="00A90A71" w:rsidRDefault="00A90A71" w:rsidP="00A90A71">
      <w:pPr>
        <w:pStyle w:val="Paragraphedeliste"/>
        <w:numPr>
          <w:ilvl w:val="0"/>
          <w:numId w:val="5"/>
        </w:numPr>
      </w:pPr>
      <w:r>
        <w:t>Plan stratégique national de santé</w:t>
      </w:r>
    </w:p>
    <w:p w:rsidR="00A90A71" w:rsidRDefault="00A90A71" w:rsidP="00A90A71">
      <w:pPr>
        <w:pStyle w:val="Paragraphedeliste"/>
        <w:numPr>
          <w:ilvl w:val="0"/>
          <w:numId w:val="5"/>
        </w:numPr>
      </w:pPr>
      <w:r>
        <w:t xml:space="preserve">Schéma régional de prévention </w:t>
      </w:r>
    </w:p>
    <w:p w:rsidR="00A90A71" w:rsidRDefault="00A90A71" w:rsidP="00A90A71">
      <w:pPr>
        <w:pStyle w:val="Paragraphedeliste"/>
        <w:numPr>
          <w:ilvl w:val="0"/>
          <w:numId w:val="5"/>
        </w:numPr>
      </w:pPr>
      <w:r>
        <w:t xml:space="preserve">Schéma régional d’organisation des soins </w:t>
      </w:r>
    </w:p>
    <w:p w:rsidR="00A90A71" w:rsidRDefault="00A90A71" w:rsidP="00A90A71">
      <w:pPr>
        <w:pStyle w:val="Paragraphedeliste"/>
        <w:numPr>
          <w:ilvl w:val="0"/>
          <w:numId w:val="5"/>
        </w:numPr>
      </w:pPr>
      <w:r>
        <w:t>Schéma régional d’organisation médico-social</w:t>
      </w:r>
    </w:p>
    <w:p w:rsidR="00A90A71" w:rsidRDefault="00A90A71" w:rsidP="00A90A71">
      <w:r>
        <w:t xml:space="preserve">Et de programmes : </w:t>
      </w:r>
    </w:p>
    <w:p w:rsidR="00A90A71" w:rsidRDefault="00A90A71" w:rsidP="00A90A71">
      <w:pPr>
        <w:pStyle w:val="Paragraphedeliste"/>
        <w:numPr>
          <w:ilvl w:val="0"/>
          <w:numId w:val="5"/>
        </w:numPr>
      </w:pPr>
      <w:r>
        <w:t xml:space="preserve">Programme régional d ‘accès à la prévention et aux soins </w:t>
      </w:r>
    </w:p>
    <w:p w:rsidR="00A90A71" w:rsidRDefault="00A90A71" w:rsidP="00A90A71">
      <w:pPr>
        <w:pStyle w:val="Paragraphedeliste"/>
        <w:numPr>
          <w:ilvl w:val="0"/>
          <w:numId w:val="5"/>
        </w:numPr>
      </w:pPr>
      <w:r>
        <w:t>Programme interdépartemental d’accompagnement des handicaps et de la perte d’autonomie</w:t>
      </w:r>
    </w:p>
    <w:p w:rsidR="00A90A71" w:rsidRDefault="00A90A71" w:rsidP="00A90A71">
      <w:pPr>
        <w:pStyle w:val="Paragraphedeliste"/>
        <w:numPr>
          <w:ilvl w:val="0"/>
          <w:numId w:val="5"/>
        </w:numPr>
      </w:pPr>
      <w:r>
        <w:t xml:space="preserve">Programme pluriannuel régional de gestion du risque </w:t>
      </w:r>
    </w:p>
    <w:p w:rsidR="00A90A71" w:rsidRDefault="00A90A71" w:rsidP="00A90A71">
      <w:pPr>
        <w:pStyle w:val="Paragraphedeliste"/>
        <w:numPr>
          <w:ilvl w:val="0"/>
          <w:numId w:val="5"/>
        </w:numPr>
      </w:pPr>
      <w:r>
        <w:t>Programme régional de télémédecine</w:t>
      </w:r>
    </w:p>
    <w:p w:rsidR="00F37369" w:rsidRDefault="00F37369" w:rsidP="000F63C4"/>
    <w:p w:rsidR="00F62FA8" w:rsidRPr="00B56950" w:rsidRDefault="00020E05" w:rsidP="000F63C4">
      <w:r>
        <w:t xml:space="preserve">D’après les données nationales, la région n’est pas très attractive en médecine pour les habitants des régions périphériques. </w:t>
      </w:r>
      <w:r w:rsidR="00B34CEE">
        <w:t xml:space="preserve">Les temps de parcours médian pour une hospitalisation en médecine ne Franche Comté sont souvent les plus long : en moyenne 28 minutes contre 251 au niveau national. Contrairement au Territoire de Belfort : 14 min de temps de parcours médian pour une hospitalisation. </w:t>
      </w:r>
    </w:p>
    <w:p w:rsidR="00B56950" w:rsidRDefault="00B56950" w:rsidP="000F63C4">
      <w:pPr>
        <w:rPr>
          <w:rFonts w:asciiTheme="majorHAnsi" w:hAnsiTheme="majorHAnsi"/>
          <w:b/>
          <w:sz w:val="28"/>
          <w:szCs w:val="24"/>
        </w:rPr>
      </w:pPr>
    </w:p>
    <w:p w:rsidR="00B34CEE" w:rsidRPr="00B56950" w:rsidRDefault="00B34CEE" w:rsidP="000F63C4">
      <w:pPr>
        <w:rPr>
          <w:rFonts w:asciiTheme="majorHAnsi" w:hAnsiTheme="majorHAnsi"/>
          <w:b/>
          <w:sz w:val="28"/>
          <w:szCs w:val="24"/>
        </w:rPr>
      </w:pPr>
      <w:r w:rsidRPr="00B56950">
        <w:rPr>
          <w:rFonts w:asciiTheme="majorHAnsi" w:hAnsiTheme="majorHAnsi"/>
          <w:b/>
          <w:sz w:val="28"/>
          <w:szCs w:val="24"/>
        </w:rPr>
        <w:t xml:space="preserve">Chiffres clés </w:t>
      </w:r>
    </w:p>
    <w:p w:rsidR="00B56950" w:rsidRDefault="00B56950" w:rsidP="00B56950">
      <w:pPr>
        <w:jc w:val="left"/>
      </w:pPr>
      <w:r>
        <w:t xml:space="preserve">Deux données sont disponibles, celles concernant le nombre de médecins et de praticiens et celles concernant les établissements de santé. </w:t>
      </w:r>
    </w:p>
    <w:p w:rsidR="00D11DD7" w:rsidRDefault="00B56950" w:rsidP="00B56950">
      <w:pPr>
        <w:jc w:val="left"/>
      </w:pPr>
      <w:r>
        <w:t>L</w:t>
      </w:r>
      <w:r w:rsidR="00D11DD7">
        <w:t>a Drees (Direction de la recherche, des études, de l’évaluation et des statistiques) fournit de nombreuses données régionales et nationales sur le nombre de praticiens et auxiliaires de santé</w:t>
      </w:r>
      <w:r w:rsidR="00F62FA8">
        <w:rPr>
          <w:rStyle w:val="Appelnotedebasdep"/>
        </w:rPr>
        <w:footnoteReference w:id="2"/>
      </w:r>
      <w:r w:rsidR="00D11DD7">
        <w:t xml:space="preserve"> : </w:t>
      </w:r>
    </w:p>
    <w:p w:rsidR="00F62FA8" w:rsidRDefault="00F62FA8" w:rsidP="000F63C4"/>
    <w:tbl>
      <w:tblPr>
        <w:tblStyle w:val="Grilledutableau"/>
        <w:tblW w:w="0" w:type="auto"/>
        <w:tblLook w:val="04A0" w:firstRow="1" w:lastRow="0" w:firstColumn="1" w:lastColumn="0" w:noHBand="0" w:noVBand="1"/>
      </w:tblPr>
      <w:tblGrid>
        <w:gridCol w:w="2303"/>
        <w:gridCol w:w="2303"/>
        <w:gridCol w:w="2303"/>
        <w:gridCol w:w="2303"/>
      </w:tblGrid>
      <w:tr w:rsidR="00D11DD7" w:rsidRPr="002F071C" w:rsidTr="00D61598">
        <w:tc>
          <w:tcPr>
            <w:tcW w:w="2303" w:type="dxa"/>
          </w:tcPr>
          <w:p w:rsidR="00D11DD7" w:rsidRPr="002F071C" w:rsidRDefault="00D11DD7" w:rsidP="00D61598">
            <w:r w:rsidRPr="002F071C">
              <w:t xml:space="preserve">Nombre pour 100 000 habitants </w:t>
            </w:r>
          </w:p>
        </w:tc>
        <w:tc>
          <w:tcPr>
            <w:tcW w:w="2303" w:type="dxa"/>
          </w:tcPr>
          <w:p w:rsidR="00D11DD7" w:rsidRPr="002F071C" w:rsidRDefault="00D11DD7" w:rsidP="00D61598">
            <w:r w:rsidRPr="002F071C">
              <w:t xml:space="preserve">Médecins généralistes </w:t>
            </w:r>
          </w:p>
        </w:tc>
        <w:tc>
          <w:tcPr>
            <w:tcW w:w="2303" w:type="dxa"/>
          </w:tcPr>
          <w:p w:rsidR="00D11DD7" w:rsidRPr="002F071C" w:rsidRDefault="00D11DD7" w:rsidP="00D61598">
            <w:r w:rsidRPr="002F071C">
              <w:t>Médecins spécialisés</w:t>
            </w:r>
          </w:p>
        </w:tc>
        <w:tc>
          <w:tcPr>
            <w:tcW w:w="2303" w:type="dxa"/>
          </w:tcPr>
          <w:p w:rsidR="00D11DD7" w:rsidRPr="002F071C" w:rsidRDefault="00D11DD7" w:rsidP="00D61598">
            <w:r w:rsidRPr="002F071C">
              <w:t>Chirurgien-dentiste</w:t>
            </w:r>
          </w:p>
        </w:tc>
      </w:tr>
      <w:tr w:rsidR="00D11DD7" w:rsidRPr="002F071C" w:rsidTr="00D61598">
        <w:tc>
          <w:tcPr>
            <w:tcW w:w="2303" w:type="dxa"/>
          </w:tcPr>
          <w:p w:rsidR="00D11DD7" w:rsidRPr="002F071C" w:rsidRDefault="00D11DD7" w:rsidP="00D61598">
            <w:r w:rsidRPr="002F071C">
              <w:t>Franche Comté</w:t>
            </w:r>
          </w:p>
        </w:tc>
        <w:tc>
          <w:tcPr>
            <w:tcW w:w="2303" w:type="dxa"/>
          </w:tcPr>
          <w:p w:rsidR="00D11DD7" w:rsidRPr="002F071C" w:rsidRDefault="00D11DD7" w:rsidP="00D61598">
            <w:r w:rsidRPr="002F071C">
              <w:t>106.4</w:t>
            </w:r>
          </w:p>
        </w:tc>
        <w:tc>
          <w:tcPr>
            <w:tcW w:w="2303" w:type="dxa"/>
          </w:tcPr>
          <w:p w:rsidR="00D11DD7" w:rsidRPr="002F071C" w:rsidRDefault="00D11DD7" w:rsidP="00D61598">
            <w:r w:rsidRPr="002F071C">
              <w:t>67.7</w:t>
            </w:r>
          </w:p>
        </w:tc>
        <w:tc>
          <w:tcPr>
            <w:tcW w:w="2303" w:type="dxa"/>
          </w:tcPr>
          <w:p w:rsidR="00D11DD7" w:rsidRPr="002F071C" w:rsidRDefault="00D11DD7" w:rsidP="00D61598">
            <w:r w:rsidRPr="002F071C">
              <w:t>42.8</w:t>
            </w:r>
          </w:p>
        </w:tc>
      </w:tr>
      <w:tr w:rsidR="00D11DD7" w:rsidRPr="002F071C" w:rsidTr="00D61598">
        <w:tc>
          <w:tcPr>
            <w:tcW w:w="2303" w:type="dxa"/>
          </w:tcPr>
          <w:p w:rsidR="00D11DD7" w:rsidRPr="002F071C" w:rsidRDefault="00D11DD7" w:rsidP="00D61598">
            <w:r w:rsidRPr="002F071C">
              <w:t>France Métropolitaine</w:t>
            </w:r>
          </w:p>
        </w:tc>
        <w:tc>
          <w:tcPr>
            <w:tcW w:w="2303" w:type="dxa"/>
          </w:tcPr>
          <w:p w:rsidR="00D11DD7" w:rsidRPr="002F071C" w:rsidRDefault="00D11DD7" w:rsidP="00D61598">
            <w:r w:rsidRPr="002F071C">
              <w:t>106.4</w:t>
            </w:r>
          </w:p>
        </w:tc>
        <w:tc>
          <w:tcPr>
            <w:tcW w:w="2303" w:type="dxa"/>
          </w:tcPr>
          <w:p w:rsidR="00D11DD7" w:rsidRPr="002F071C" w:rsidRDefault="00D11DD7" w:rsidP="00D61598">
            <w:r w:rsidRPr="002F071C">
              <w:t>94.3</w:t>
            </w:r>
          </w:p>
        </w:tc>
        <w:tc>
          <w:tcPr>
            <w:tcW w:w="2303" w:type="dxa"/>
          </w:tcPr>
          <w:p w:rsidR="00D11DD7" w:rsidRPr="002F071C" w:rsidRDefault="00D11DD7" w:rsidP="00D61598">
            <w:r w:rsidRPr="002F071C">
              <w:t>56.9</w:t>
            </w:r>
          </w:p>
        </w:tc>
      </w:tr>
    </w:tbl>
    <w:p w:rsidR="00D11DD7" w:rsidRPr="002F071C" w:rsidRDefault="00D11DD7" w:rsidP="00D11DD7"/>
    <w:tbl>
      <w:tblPr>
        <w:tblStyle w:val="Grilledutableau"/>
        <w:tblW w:w="9288" w:type="dxa"/>
        <w:tblLook w:val="04A0" w:firstRow="1" w:lastRow="0" w:firstColumn="1" w:lastColumn="0" w:noHBand="0" w:noVBand="1"/>
      </w:tblPr>
      <w:tblGrid>
        <w:gridCol w:w="1998"/>
        <w:gridCol w:w="1938"/>
        <w:gridCol w:w="1701"/>
        <w:gridCol w:w="1842"/>
        <w:gridCol w:w="1809"/>
      </w:tblGrid>
      <w:tr w:rsidR="00D11DD7" w:rsidRPr="002F071C" w:rsidTr="00D61598">
        <w:tc>
          <w:tcPr>
            <w:tcW w:w="1998" w:type="dxa"/>
          </w:tcPr>
          <w:p w:rsidR="00D11DD7" w:rsidRPr="002F071C" w:rsidRDefault="00D11DD7" w:rsidP="00D61598">
            <w:r w:rsidRPr="002F071C">
              <w:t xml:space="preserve">Nombre pour 100 000 habitants </w:t>
            </w:r>
          </w:p>
        </w:tc>
        <w:tc>
          <w:tcPr>
            <w:tcW w:w="1938" w:type="dxa"/>
          </w:tcPr>
          <w:p w:rsidR="00D11DD7" w:rsidRPr="002F071C" w:rsidRDefault="00D11DD7" w:rsidP="00D61598">
            <w:r w:rsidRPr="002F071C">
              <w:t>Masseurs kinésithérapeute</w:t>
            </w:r>
          </w:p>
        </w:tc>
        <w:tc>
          <w:tcPr>
            <w:tcW w:w="1701" w:type="dxa"/>
          </w:tcPr>
          <w:p w:rsidR="00D11DD7" w:rsidRPr="002F071C" w:rsidRDefault="00D11DD7" w:rsidP="00D61598">
            <w:r w:rsidRPr="002F071C">
              <w:t>Infirmiers</w:t>
            </w:r>
          </w:p>
        </w:tc>
        <w:tc>
          <w:tcPr>
            <w:tcW w:w="1842" w:type="dxa"/>
          </w:tcPr>
          <w:p w:rsidR="00D11DD7" w:rsidRPr="002F071C" w:rsidRDefault="00D11DD7" w:rsidP="00D61598">
            <w:r w:rsidRPr="002F071C">
              <w:t>Orthophoniste</w:t>
            </w:r>
          </w:p>
        </w:tc>
        <w:tc>
          <w:tcPr>
            <w:tcW w:w="1809" w:type="dxa"/>
          </w:tcPr>
          <w:p w:rsidR="00D11DD7" w:rsidRPr="002F071C" w:rsidRDefault="00D11DD7" w:rsidP="00D61598">
            <w:r w:rsidRPr="002F071C">
              <w:t>Pédicure - Podologue</w:t>
            </w:r>
          </w:p>
        </w:tc>
      </w:tr>
      <w:tr w:rsidR="00D11DD7" w:rsidRPr="002F071C" w:rsidTr="00D61598">
        <w:tc>
          <w:tcPr>
            <w:tcW w:w="1998" w:type="dxa"/>
          </w:tcPr>
          <w:p w:rsidR="00D11DD7" w:rsidRPr="002F071C" w:rsidRDefault="00D11DD7" w:rsidP="00D61598">
            <w:r w:rsidRPr="002F071C">
              <w:t>Franche Comté</w:t>
            </w:r>
          </w:p>
        </w:tc>
        <w:tc>
          <w:tcPr>
            <w:tcW w:w="1938" w:type="dxa"/>
          </w:tcPr>
          <w:p w:rsidR="00D11DD7" w:rsidRPr="002F071C" w:rsidRDefault="00D11DD7" w:rsidP="00D61598">
            <w:r w:rsidRPr="002F071C">
              <w:t>62.3</w:t>
            </w:r>
          </w:p>
        </w:tc>
        <w:tc>
          <w:tcPr>
            <w:tcW w:w="1701" w:type="dxa"/>
          </w:tcPr>
          <w:p w:rsidR="00D11DD7" w:rsidRPr="002F071C" w:rsidRDefault="00D11DD7" w:rsidP="00D61598">
            <w:r w:rsidRPr="002F071C">
              <w:t>112.7</w:t>
            </w:r>
          </w:p>
        </w:tc>
        <w:tc>
          <w:tcPr>
            <w:tcW w:w="1842" w:type="dxa"/>
          </w:tcPr>
          <w:p w:rsidR="00D11DD7" w:rsidRPr="002F071C" w:rsidRDefault="00D11DD7" w:rsidP="00D61598">
            <w:r w:rsidRPr="002F071C">
              <w:t>17.2</w:t>
            </w:r>
          </w:p>
        </w:tc>
        <w:tc>
          <w:tcPr>
            <w:tcW w:w="1809" w:type="dxa"/>
          </w:tcPr>
          <w:p w:rsidR="00D11DD7" w:rsidRPr="002F071C" w:rsidRDefault="00D11DD7" w:rsidP="00D61598">
            <w:r w:rsidRPr="002F071C">
              <w:t>13.7</w:t>
            </w:r>
          </w:p>
        </w:tc>
      </w:tr>
      <w:tr w:rsidR="00D11DD7" w:rsidRPr="002F071C" w:rsidTr="00D61598">
        <w:tc>
          <w:tcPr>
            <w:tcW w:w="1998" w:type="dxa"/>
          </w:tcPr>
          <w:p w:rsidR="00D11DD7" w:rsidRPr="002F071C" w:rsidRDefault="00D11DD7" w:rsidP="00D61598">
            <w:r w:rsidRPr="002F071C">
              <w:t>France Métropolitaine</w:t>
            </w:r>
          </w:p>
        </w:tc>
        <w:tc>
          <w:tcPr>
            <w:tcW w:w="1938" w:type="dxa"/>
          </w:tcPr>
          <w:p w:rsidR="00D11DD7" w:rsidRPr="002F071C" w:rsidRDefault="00D11DD7" w:rsidP="00D61598">
            <w:r w:rsidRPr="002F071C">
              <w:t>93.6</w:t>
            </w:r>
          </w:p>
        </w:tc>
        <w:tc>
          <w:tcPr>
            <w:tcW w:w="1701" w:type="dxa"/>
          </w:tcPr>
          <w:p w:rsidR="00D11DD7" w:rsidRPr="002F071C" w:rsidRDefault="00D11DD7" w:rsidP="00D61598">
            <w:r w:rsidRPr="002F071C">
              <w:t>146.4</w:t>
            </w:r>
          </w:p>
        </w:tc>
        <w:tc>
          <w:tcPr>
            <w:tcW w:w="1842" w:type="dxa"/>
          </w:tcPr>
          <w:p w:rsidR="00D11DD7" w:rsidRPr="002F071C" w:rsidRDefault="00D11DD7" w:rsidP="00D61598">
            <w:r w:rsidRPr="002F071C">
              <w:t>27.1</w:t>
            </w:r>
          </w:p>
        </w:tc>
        <w:tc>
          <w:tcPr>
            <w:tcW w:w="1809" w:type="dxa"/>
          </w:tcPr>
          <w:p w:rsidR="00D11DD7" w:rsidRPr="002F071C" w:rsidRDefault="00D11DD7" w:rsidP="00D61598">
            <w:r w:rsidRPr="002F071C">
              <w:t>19</w:t>
            </w:r>
          </w:p>
        </w:tc>
      </w:tr>
    </w:tbl>
    <w:p w:rsidR="00B56950" w:rsidRDefault="00B56950" w:rsidP="000F63C4"/>
    <w:tbl>
      <w:tblPr>
        <w:tblW w:w="8688" w:type="dxa"/>
        <w:tblInd w:w="55" w:type="dxa"/>
        <w:tblCellMar>
          <w:left w:w="70" w:type="dxa"/>
          <w:right w:w="70" w:type="dxa"/>
        </w:tblCellMar>
        <w:tblLook w:val="04A0" w:firstRow="1" w:lastRow="0" w:firstColumn="1" w:lastColumn="0" w:noHBand="0" w:noVBand="1"/>
      </w:tblPr>
      <w:tblGrid>
        <w:gridCol w:w="2560"/>
        <w:gridCol w:w="1520"/>
        <w:gridCol w:w="1520"/>
        <w:gridCol w:w="3088"/>
      </w:tblGrid>
      <w:tr w:rsidR="00F62FA8" w:rsidRPr="00F62FA8" w:rsidTr="00F62FA8">
        <w:trPr>
          <w:trHeight w:val="255"/>
        </w:trPr>
        <w:tc>
          <w:tcPr>
            <w:tcW w:w="5600" w:type="dxa"/>
            <w:gridSpan w:val="3"/>
            <w:tcBorders>
              <w:top w:val="nil"/>
              <w:left w:val="nil"/>
              <w:bottom w:val="nil"/>
              <w:right w:val="nil"/>
            </w:tcBorders>
            <w:shd w:val="clear" w:color="000000" w:fill="FFFFFF"/>
            <w:noWrap/>
            <w:vAlign w:val="bottom"/>
            <w:hideMark/>
          </w:tcPr>
          <w:p w:rsidR="00F62FA8" w:rsidRPr="00F62FA8" w:rsidRDefault="00B56950" w:rsidP="00F62FA8">
            <w:pPr>
              <w:spacing w:before="0" w:line="240" w:lineRule="auto"/>
              <w:jc w:val="left"/>
              <w:rPr>
                <w:rFonts w:eastAsia="Times New Roman"/>
                <w:b/>
                <w:bCs/>
                <w:color w:val="auto"/>
                <w:sz w:val="20"/>
                <w:szCs w:val="20"/>
              </w:rPr>
            </w:pPr>
            <w:r>
              <w:rPr>
                <w:rFonts w:eastAsia="Times New Roman"/>
                <w:b/>
                <w:bCs/>
                <w:color w:val="auto"/>
                <w:sz w:val="20"/>
                <w:szCs w:val="20"/>
              </w:rPr>
              <w:t>Évolution de la densité de professionnels libéraux de la santé</w:t>
            </w:r>
          </w:p>
        </w:tc>
        <w:tc>
          <w:tcPr>
            <w:tcW w:w="3088"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 </w:t>
            </w:r>
          </w:p>
        </w:tc>
      </w:tr>
      <w:tr w:rsidR="00F62FA8" w:rsidRPr="00F62FA8" w:rsidTr="00F62FA8">
        <w:trPr>
          <w:trHeight w:val="255"/>
        </w:trPr>
        <w:tc>
          <w:tcPr>
            <w:tcW w:w="2560"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 </w:t>
            </w:r>
          </w:p>
        </w:tc>
        <w:tc>
          <w:tcPr>
            <w:tcW w:w="1520"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 </w:t>
            </w:r>
          </w:p>
        </w:tc>
        <w:tc>
          <w:tcPr>
            <w:tcW w:w="1520"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 </w:t>
            </w:r>
          </w:p>
        </w:tc>
        <w:tc>
          <w:tcPr>
            <w:tcW w:w="3088"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 </w:t>
            </w:r>
          </w:p>
        </w:tc>
      </w:tr>
      <w:tr w:rsidR="00F62FA8" w:rsidRPr="00F62FA8" w:rsidTr="00F62FA8">
        <w:trPr>
          <w:trHeight w:val="255"/>
        </w:trPr>
        <w:tc>
          <w:tcPr>
            <w:tcW w:w="2560"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right"/>
              <w:rPr>
                <w:rFonts w:eastAsia="Times New Roman"/>
                <w:color w:val="auto"/>
                <w:sz w:val="16"/>
                <w:szCs w:val="16"/>
              </w:rPr>
            </w:pPr>
            <w:r w:rsidRPr="00F62FA8">
              <w:rPr>
                <w:rFonts w:eastAsia="Times New Roman"/>
                <w:color w:val="auto"/>
                <w:sz w:val="16"/>
                <w:szCs w:val="16"/>
              </w:rPr>
              <w:t> </w:t>
            </w:r>
          </w:p>
        </w:tc>
        <w:tc>
          <w:tcPr>
            <w:tcW w:w="1520"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 </w:t>
            </w:r>
          </w:p>
        </w:tc>
        <w:tc>
          <w:tcPr>
            <w:tcW w:w="1520"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left"/>
              <w:rPr>
                <w:rFonts w:eastAsia="Times New Roman"/>
                <w:b/>
                <w:bCs/>
                <w:color w:val="auto"/>
                <w:sz w:val="20"/>
                <w:szCs w:val="20"/>
              </w:rPr>
            </w:pPr>
            <w:r w:rsidRPr="00F62FA8">
              <w:rPr>
                <w:rFonts w:eastAsia="Times New Roman"/>
                <w:b/>
                <w:bCs/>
                <w:color w:val="auto"/>
                <w:sz w:val="20"/>
                <w:szCs w:val="20"/>
              </w:rPr>
              <w:t> </w:t>
            </w:r>
          </w:p>
        </w:tc>
        <w:tc>
          <w:tcPr>
            <w:tcW w:w="3088" w:type="dxa"/>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right"/>
              <w:rPr>
                <w:rFonts w:eastAsia="Times New Roman"/>
                <w:color w:val="auto"/>
                <w:sz w:val="20"/>
                <w:szCs w:val="20"/>
              </w:rPr>
            </w:pPr>
            <w:bookmarkStart w:id="0" w:name="RANGE!D3"/>
            <w:r w:rsidRPr="00F62FA8">
              <w:rPr>
                <w:rFonts w:eastAsia="Times New Roman"/>
                <w:color w:val="auto"/>
                <w:sz w:val="20"/>
                <w:szCs w:val="20"/>
              </w:rPr>
              <w:t>en nombre pour 100 000 habitants</w:t>
            </w:r>
            <w:bookmarkEnd w:id="0"/>
          </w:p>
        </w:tc>
      </w:tr>
      <w:tr w:rsidR="00F62FA8" w:rsidRPr="00F62FA8" w:rsidTr="00F62FA8">
        <w:trPr>
          <w:trHeight w:val="255"/>
        </w:trPr>
        <w:tc>
          <w:tcPr>
            <w:tcW w:w="2560" w:type="dxa"/>
            <w:vMerge w:val="restart"/>
            <w:tcBorders>
              <w:top w:val="nil"/>
              <w:left w:val="nil"/>
              <w:bottom w:val="nil"/>
              <w:right w:val="nil"/>
            </w:tcBorders>
            <w:shd w:val="clear" w:color="000000" w:fill="FFFFFF"/>
            <w:noWrap/>
            <w:vAlign w:val="center"/>
            <w:hideMark/>
          </w:tcPr>
          <w:p w:rsidR="00F62FA8" w:rsidRPr="00F62FA8" w:rsidRDefault="00F62FA8" w:rsidP="00F62FA8">
            <w:pPr>
              <w:spacing w:before="0" w:line="240" w:lineRule="auto"/>
              <w:jc w:val="left"/>
              <w:rPr>
                <w:rFonts w:eastAsia="Times New Roman"/>
                <w:i/>
                <w:iCs/>
                <w:color w:val="auto"/>
                <w:sz w:val="16"/>
                <w:szCs w:val="16"/>
              </w:rPr>
            </w:pPr>
            <w:r w:rsidRPr="00F62FA8">
              <w:rPr>
                <w:rFonts w:eastAsia="Times New Roman"/>
                <w:i/>
                <w:iCs/>
                <w:color w:val="auto"/>
                <w:sz w:val="16"/>
                <w:szCs w:val="16"/>
              </w:rPr>
              <w:t> </w:t>
            </w:r>
          </w:p>
        </w:tc>
        <w:tc>
          <w:tcPr>
            <w:tcW w:w="1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center"/>
              <w:rPr>
                <w:rFonts w:eastAsia="Times New Roman"/>
                <w:b/>
                <w:bCs/>
                <w:color w:val="auto"/>
                <w:sz w:val="20"/>
                <w:szCs w:val="20"/>
              </w:rPr>
            </w:pPr>
            <w:r w:rsidRPr="00F62FA8">
              <w:rPr>
                <w:rFonts w:eastAsia="Times New Roman"/>
                <w:b/>
                <w:bCs/>
                <w:color w:val="auto"/>
                <w:sz w:val="20"/>
                <w:szCs w:val="20"/>
              </w:rPr>
              <w:t>2013</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center"/>
              <w:rPr>
                <w:rFonts w:eastAsia="Times New Roman"/>
                <w:b/>
                <w:bCs/>
                <w:color w:val="auto"/>
                <w:sz w:val="20"/>
                <w:szCs w:val="20"/>
              </w:rPr>
            </w:pPr>
            <w:r w:rsidRPr="00F62FA8">
              <w:rPr>
                <w:rFonts w:eastAsia="Times New Roman"/>
                <w:b/>
                <w:bCs/>
                <w:color w:val="auto"/>
                <w:sz w:val="20"/>
                <w:szCs w:val="20"/>
              </w:rPr>
              <w:t>2012</w:t>
            </w:r>
          </w:p>
        </w:tc>
        <w:tc>
          <w:tcPr>
            <w:tcW w:w="3088" w:type="dxa"/>
            <w:tcBorders>
              <w:top w:val="single" w:sz="4" w:space="0" w:color="auto"/>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center"/>
              <w:rPr>
                <w:rFonts w:eastAsia="Times New Roman"/>
                <w:b/>
                <w:bCs/>
                <w:color w:val="auto"/>
                <w:sz w:val="20"/>
                <w:szCs w:val="20"/>
              </w:rPr>
            </w:pPr>
            <w:r w:rsidRPr="00F62FA8">
              <w:rPr>
                <w:rFonts w:eastAsia="Times New Roman"/>
                <w:b/>
                <w:bCs/>
                <w:color w:val="auto"/>
                <w:sz w:val="20"/>
                <w:szCs w:val="20"/>
              </w:rPr>
              <w:t>2010</w:t>
            </w:r>
          </w:p>
        </w:tc>
      </w:tr>
      <w:tr w:rsidR="00F62FA8" w:rsidRPr="00F62FA8" w:rsidTr="00F62FA8">
        <w:trPr>
          <w:trHeight w:val="822"/>
        </w:trPr>
        <w:tc>
          <w:tcPr>
            <w:tcW w:w="2560" w:type="dxa"/>
            <w:vMerge/>
            <w:tcBorders>
              <w:top w:val="nil"/>
              <w:left w:val="nil"/>
              <w:bottom w:val="nil"/>
              <w:right w:val="nil"/>
            </w:tcBorders>
            <w:vAlign w:val="center"/>
            <w:hideMark/>
          </w:tcPr>
          <w:p w:rsidR="00F62FA8" w:rsidRPr="00F62FA8" w:rsidRDefault="00F62FA8" w:rsidP="00F62FA8">
            <w:pPr>
              <w:spacing w:before="0" w:line="240" w:lineRule="auto"/>
              <w:jc w:val="left"/>
              <w:rPr>
                <w:rFonts w:eastAsia="Times New Roman"/>
                <w:i/>
                <w:iCs/>
                <w:color w:val="auto"/>
                <w:sz w:val="16"/>
                <w:szCs w:val="16"/>
              </w:rPr>
            </w:pPr>
          </w:p>
        </w:tc>
        <w:tc>
          <w:tcPr>
            <w:tcW w:w="1520" w:type="dxa"/>
            <w:tcBorders>
              <w:top w:val="nil"/>
              <w:left w:val="single" w:sz="4" w:space="0" w:color="auto"/>
              <w:bottom w:val="single" w:sz="4" w:space="0" w:color="auto"/>
              <w:right w:val="single" w:sz="4" w:space="0" w:color="auto"/>
            </w:tcBorders>
            <w:shd w:val="clear" w:color="000000" w:fill="FFFFFF"/>
            <w:vAlign w:val="center"/>
            <w:hideMark/>
          </w:tcPr>
          <w:p w:rsidR="00F62FA8" w:rsidRPr="00F62FA8" w:rsidRDefault="00F62FA8" w:rsidP="00F62FA8">
            <w:pPr>
              <w:spacing w:before="0" w:line="240" w:lineRule="auto"/>
              <w:jc w:val="center"/>
              <w:rPr>
                <w:rFonts w:eastAsia="Times New Roman"/>
                <w:b/>
                <w:bCs/>
                <w:sz w:val="20"/>
                <w:szCs w:val="20"/>
              </w:rPr>
            </w:pPr>
            <w:r w:rsidRPr="00F62FA8">
              <w:rPr>
                <w:rFonts w:eastAsia="Times New Roman"/>
                <w:b/>
                <w:bCs/>
                <w:sz w:val="20"/>
                <w:szCs w:val="20"/>
              </w:rPr>
              <w:t>Territoire de Belfort</w:t>
            </w:r>
          </w:p>
        </w:tc>
        <w:tc>
          <w:tcPr>
            <w:tcW w:w="1520" w:type="dxa"/>
            <w:tcBorders>
              <w:top w:val="nil"/>
              <w:left w:val="nil"/>
              <w:bottom w:val="single" w:sz="4" w:space="0" w:color="auto"/>
              <w:right w:val="single" w:sz="4" w:space="0" w:color="auto"/>
            </w:tcBorders>
            <w:shd w:val="clear" w:color="000000" w:fill="FFFFFF"/>
            <w:vAlign w:val="center"/>
            <w:hideMark/>
          </w:tcPr>
          <w:p w:rsidR="00F62FA8" w:rsidRPr="00F62FA8" w:rsidRDefault="00F62FA8" w:rsidP="00F62FA8">
            <w:pPr>
              <w:spacing w:before="0" w:line="240" w:lineRule="auto"/>
              <w:jc w:val="center"/>
              <w:rPr>
                <w:rFonts w:eastAsia="Times New Roman"/>
                <w:b/>
                <w:bCs/>
                <w:sz w:val="20"/>
                <w:szCs w:val="20"/>
              </w:rPr>
            </w:pPr>
            <w:r w:rsidRPr="00F62FA8">
              <w:rPr>
                <w:rFonts w:eastAsia="Times New Roman"/>
                <w:b/>
                <w:bCs/>
                <w:sz w:val="20"/>
                <w:szCs w:val="20"/>
              </w:rPr>
              <w:t>Territoire de Belfort</w:t>
            </w:r>
          </w:p>
        </w:tc>
        <w:tc>
          <w:tcPr>
            <w:tcW w:w="3088" w:type="dxa"/>
            <w:tcBorders>
              <w:top w:val="nil"/>
              <w:left w:val="nil"/>
              <w:bottom w:val="single" w:sz="4" w:space="0" w:color="auto"/>
              <w:right w:val="single" w:sz="4" w:space="0" w:color="auto"/>
            </w:tcBorders>
            <w:shd w:val="clear" w:color="000000" w:fill="FFFFFF"/>
            <w:vAlign w:val="center"/>
            <w:hideMark/>
          </w:tcPr>
          <w:p w:rsidR="00F62FA8" w:rsidRPr="00F62FA8" w:rsidRDefault="00F62FA8" w:rsidP="00F62FA8">
            <w:pPr>
              <w:spacing w:before="0" w:line="240" w:lineRule="auto"/>
              <w:jc w:val="center"/>
              <w:rPr>
                <w:rFonts w:eastAsia="Times New Roman"/>
                <w:b/>
                <w:bCs/>
                <w:sz w:val="20"/>
                <w:szCs w:val="20"/>
              </w:rPr>
            </w:pPr>
            <w:r w:rsidRPr="00F62FA8">
              <w:rPr>
                <w:rFonts w:eastAsia="Times New Roman"/>
                <w:b/>
                <w:bCs/>
                <w:sz w:val="20"/>
                <w:szCs w:val="20"/>
              </w:rPr>
              <w:t>Territoire-de-Belfort</w:t>
            </w:r>
          </w:p>
        </w:tc>
      </w:tr>
      <w:tr w:rsidR="00F62FA8" w:rsidRPr="00F62FA8" w:rsidTr="00F62FA8">
        <w:trPr>
          <w:trHeight w:val="255"/>
        </w:trPr>
        <w:tc>
          <w:tcPr>
            <w:tcW w:w="25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62FA8" w:rsidRPr="00F62FA8" w:rsidRDefault="00F62FA8" w:rsidP="00F62FA8">
            <w:pPr>
              <w:spacing w:before="0" w:line="240" w:lineRule="auto"/>
              <w:jc w:val="left"/>
              <w:rPr>
                <w:rFonts w:eastAsia="Times New Roman"/>
                <w:sz w:val="20"/>
                <w:szCs w:val="20"/>
              </w:rPr>
            </w:pPr>
            <w:bookmarkStart w:id="1" w:name="RANGE!A6:A11"/>
            <w:r w:rsidRPr="00F62FA8">
              <w:rPr>
                <w:rFonts w:eastAsia="Times New Roman"/>
                <w:sz w:val="20"/>
                <w:szCs w:val="20"/>
              </w:rPr>
              <w:t>Médecins généralistes</w:t>
            </w:r>
            <w:bookmarkEnd w:id="1"/>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93</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96</w:t>
            </w:r>
          </w:p>
        </w:tc>
        <w:tc>
          <w:tcPr>
            <w:tcW w:w="3088"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91</w:t>
            </w:r>
          </w:p>
        </w:tc>
      </w:tr>
      <w:tr w:rsidR="00F62FA8" w:rsidRPr="00F62FA8" w:rsidTr="00F62FA8">
        <w:trPr>
          <w:trHeight w:val="255"/>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Médecins spécialistes</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69</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72</w:t>
            </w:r>
          </w:p>
        </w:tc>
        <w:tc>
          <w:tcPr>
            <w:tcW w:w="3088"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55</w:t>
            </w:r>
          </w:p>
        </w:tc>
      </w:tr>
      <w:tr w:rsidR="00F62FA8" w:rsidRPr="00F62FA8" w:rsidTr="00F62FA8">
        <w:trPr>
          <w:trHeight w:val="255"/>
        </w:trPr>
        <w:tc>
          <w:tcPr>
            <w:tcW w:w="2560" w:type="dxa"/>
            <w:tcBorders>
              <w:top w:val="nil"/>
              <w:left w:val="single" w:sz="4" w:space="0" w:color="auto"/>
              <w:bottom w:val="single" w:sz="4" w:space="0" w:color="auto"/>
              <w:right w:val="single" w:sz="4" w:space="0" w:color="auto"/>
            </w:tcBorders>
            <w:shd w:val="clear" w:color="000000" w:fill="FFFFFF"/>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Infirmiers diplômés d'État</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105</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99</w:t>
            </w:r>
          </w:p>
        </w:tc>
        <w:tc>
          <w:tcPr>
            <w:tcW w:w="3088"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84</w:t>
            </w:r>
          </w:p>
        </w:tc>
      </w:tr>
      <w:tr w:rsidR="00F62FA8" w:rsidRPr="00F62FA8" w:rsidTr="00F62FA8">
        <w:trPr>
          <w:trHeight w:val="255"/>
        </w:trPr>
        <w:tc>
          <w:tcPr>
            <w:tcW w:w="2560" w:type="dxa"/>
            <w:tcBorders>
              <w:top w:val="nil"/>
              <w:left w:val="single" w:sz="4" w:space="0" w:color="auto"/>
              <w:bottom w:val="single" w:sz="4" w:space="0" w:color="auto"/>
              <w:right w:val="single" w:sz="4" w:space="0" w:color="auto"/>
            </w:tcBorders>
            <w:shd w:val="clear" w:color="000000" w:fill="FFFFFF"/>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Chirurgiens-dentistes</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43</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43</w:t>
            </w:r>
          </w:p>
        </w:tc>
        <w:tc>
          <w:tcPr>
            <w:tcW w:w="3088"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44</w:t>
            </w:r>
          </w:p>
        </w:tc>
      </w:tr>
      <w:tr w:rsidR="00F62FA8" w:rsidRPr="00F62FA8" w:rsidTr="00F62FA8">
        <w:trPr>
          <w:trHeight w:val="255"/>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Masseurs kinésithérapeutes</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59</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60</w:t>
            </w:r>
          </w:p>
        </w:tc>
        <w:tc>
          <w:tcPr>
            <w:tcW w:w="3088"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56</w:t>
            </w:r>
          </w:p>
        </w:tc>
      </w:tr>
      <w:tr w:rsidR="00F62FA8" w:rsidRPr="00F62FA8" w:rsidTr="00F62FA8">
        <w:trPr>
          <w:trHeight w:val="255"/>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F62FA8" w:rsidRPr="00F62FA8" w:rsidRDefault="00F62FA8" w:rsidP="00F62FA8">
            <w:pPr>
              <w:spacing w:before="0" w:line="240" w:lineRule="auto"/>
              <w:jc w:val="left"/>
              <w:rPr>
                <w:rFonts w:eastAsia="Times New Roman"/>
                <w:color w:val="auto"/>
                <w:sz w:val="20"/>
                <w:szCs w:val="20"/>
              </w:rPr>
            </w:pPr>
            <w:r w:rsidRPr="00F62FA8">
              <w:rPr>
                <w:rFonts w:eastAsia="Times New Roman"/>
                <w:color w:val="auto"/>
                <w:sz w:val="20"/>
                <w:szCs w:val="20"/>
              </w:rPr>
              <w:t>Pharmaciens</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106</w:t>
            </w:r>
          </w:p>
        </w:tc>
        <w:tc>
          <w:tcPr>
            <w:tcW w:w="1520"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104</w:t>
            </w:r>
          </w:p>
        </w:tc>
        <w:tc>
          <w:tcPr>
            <w:tcW w:w="3088" w:type="dxa"/>
            <w:tcBorders>
              <w:top w:val="nil"/>
              <w:left w:val="nil"/>
              <w:bottom w:val="single" w:sz="4" w:space="0" w:color="auto"/>
              <w:right w:val="single" w:sz="4" w:space="0" w:color="auto"/>
            </w:tcBorders>
            <w:shd w:val="clear" w:color="000000" w:fill="FFFFFF"/>
            <w:noWrap/>
            <w:vAlign w:val="center"/>
            <w:hideMark/>
          </w:tcPr>
          <w:p w:rsidR="00F62FA8" w:rsidRPr="00F62FA8" w:rsidRDefault="00F62FA8" w:rsidP="00F62FA8">
            <w:pPr>
              <w:spacing w:before="0" w:line="240" w:lineRule="auto"/>
              <w:jc w:val="right"/>
              <w:rPr>
                <w:rFonts w:eastAsia="Times New Roman"/>
                <w:color w:val="auto"/>
                <w:sz w:val="20"/>
                <w:szCs w:val="20"/>
              </w:rPr>
            </w:pPr>
            <w:r w:rsidRPr="00F62FA8">
              <w:rPr>
                <w:rFonts w:eastAsia="Times New Roman"/>
                <w:color w:val="auto"/>
                <w:sz w:val="20"/>
                <w:szCs w:val="20"/>
              </w:rPr>
              <w:t>111</w:t>
            </w:r>
          </w:p>
        </w:tc>
      </w:tr>
      <w:tr w:rsidR="00F62FA8" w:rsidRPr="00F62FA8" w:rsidTr="00F62FA8">
        <w:trPr>
          <w:trHeight w:val="255"/>
        </w:trPr>
        <w:tc>
          <w:tcPr>
            <w:tcW w:w="8688" w:type="dxa"/>
            <w:gridSpan w:val="4"/>
            <w:tcBorders>
              <w:top w:val="nil"/>
              <w:left w:val="nil"/>
              <w:bottom w:val="nil"/>
              <w:right w:val="nil"/>
            </w:tcBorders>
            <w:shd w:val="clear" w:color="000000" w:fill="FFFFFF"/>
            <w:noWrap/>
            <w:vAlign w:val="bottom"/>
            <w:hideMark/>
          </w:tcPr>
          <w:p w:rsidR="00F62FA8" w:rsidRPr="00F62FA8" w:rsidRDefault="00F62FA8" w:rsidP="00F62FA8">
            <w:pPr>
              <w:spacing w:before="0" w:line="240" w:lineRule="auto"/>
              <w:jc w:val="left"/>
              <w:rPr>
                <w:rFonts w:eastAsia="Times New Roman"/>
                <w:i/>
                <w:iCs/>
                <w:color w:val="auto"/>
                <w:sz w:val="16"/>
                <w:szCs w:val="16"/>
              </w:rPr>
            </w:pPr>
            <w:bookmarkStart w:id="2" w:name="RANGE!A12"/>
            <w:r w:rsidRPr="00F62FA8">
              <w:rPr>
                <w:rFonts w:eastAsia="Times New Roman"/>
                <w:i/>
                <w:iCs/>
                <w:color w:val="auto"/>
                <w:sz w:val="16"/>
                <w:szCs w:val="16"/>
              </w:rPr>
              <w:t xml:space="preserve">Sources : ARS et Drees, </w:t>
            </w:r>
            <w:proofErr w:type="spellStart"/>
            <w:r w:rsidRPr="00F62FA8">
              <w:rPr>
                <w:rFonts w:eastAsia="Times New Roman"/>
                <w:i/>
                <w:iCs/>
                <w:color w:val="auto"/>
                <w:sz w:val="16"/>
                <w:szCs w:val="16"/>
              </w:rPr>
              <w:t>Adeli</w:t>
            </w:r>
            <w:proofErr w:type="spellEnd"/>
            <w:r w:rsidRPr="00F62FA8">
              <w:rPr>
                <w:rFonts w:eastAsia="Times New Roman"/>
                <w:i/>
                <w:iCs/>
                <w:color w:val="auto"/>
                <w:sz w:val="16"/>
                <w:szCs w:val="16"/>
              </w:rPr>
              <w:t xml:space="preserve">, </w:t>
            </w:r>
            <w:proofErr w:type="spellStart"/>
            <w:r w:rsidRPr="00F62FA8">
              <w:rPr>
                <w:rFonts w:eastAsia="Times New Roman"/>
                <w:i/>
                <w:iCs/>
                <w:color w:val="auto"/>
                <w:sz w:val="16"/>
                <w:szCs w:val="16"/>
              </w:rPr>
              <w:t>Finess</w:t>
            </w:r>
            <w:proofErr w:type="spellEnd"/>
            <w:r w:rsidRPr="00F62FA8">
              <w:rPr>
                <w:rFonts w:eastAsia="Times New Roman"/>
                <w:i/>
                <w:iCs/>
                <w:color w:val="auto"/>
                <w:sz w:val="16"/>
                <w:szCs w:val="16"/>
              </w:rPr>
              <w:t xml:space="preserve"> ; Insee, estimations de pop au 01/01/2012, 2010 et 2009.</w:t>
            </w:r>
            <w:bookmarkEnd w:id="2"/>
          </w:p>
        </w:tc>
      </w:tr>
    </w:tbl>
    <w:p w:rsidR="003A6B52" w:rsidRDefault="003A6B52" w:rsidP="000F63C4"/>
    <w:p w:rsidR="00B56950" w:rsidRDefault="00B56950" w:rsidP="000F63C4">
      <w:r>
        <w:t>Le taux d’équipement en établissements de santé du Territoire de Belfort par rapport aux autres départements de la région Franche Comté</w:t>
      </w:r>
      <w:r>
        <w:rPr>
          <w:rStyle w:val="Appelnotedebasdep"/>
        </w:rPr>
        <w:footnoteReference w:id="3"/>
      </w:r>
      <w:r>
        <w:t xml:space="preserve"> : </w:t>
      </w:r>
    </w:p>
    <w:tbl>
      <w:tblPr>
        <w:tblW w:w="9498" w:type="dxa"/>
        <w:tblInd w:w="55" w:type="dxa"/>
        <w:tblCellMar>
          <w:left w:w="70" w:type="dxa"/>
          <w:right w:w="70" w:type="dxa"/>
        </w:tblCellMar>
        <w:tblLook w:val="04A0" w:firstRow="1" w:lastRow="0" w:firstColumn="1" w:lastColumn="0" w:noHBand="0" w:noVBand="1"/>
      </w:tblPr>
      <w:tblGrid>
        <w:gridCol w:w="2809"/>
        <w:gridCol w:w="956"/>
        <w:gridCol w:w="957"/>
        <w:gridCol w:w="957"/>
        <w:gridCol w:w="1019"/>
        <w:gridCol w:w="2800"/>
      </w:tblGrid>
      <w:tr w:rsidR="00B56950" w:rsidRPr="00B56950" w:rsidTr="00B56950">
        <w:trPr>
          <w:trHeight w:val="255"/>
        </w:trPr>
        <w:tc>
          <w:tcPr>
            <w:tcW w:w="2809"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rPr>
                <w:rFonts w:eastAsia="Times New Roman"/>
                <w:color w:val="auto"/>
                <w:sz w:val="16"/>
                <w:szCs w:val="16"/>
              </w:rPr>
            </w:pPr>
            <w:r w:rsidRPr="00B56950">
              <w:rPr>
                <w:rFonts w:eastAsia="Times New Roman"/>
                <w:color w:val="auto"/>
                <w:sz w:val="16"/>
                <w:szCs w:val="16"/>
              </w:rPr>
              <w:t> </w:t>
            </w:r>
          </w:p>
        </w:tc>
        <w:tc>
          <w:tcPr>
            <w:tcW w:w="956"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957"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957"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1019"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2800"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right"/>
              <w:rPr>
                <w:rFonts w:eastAsia="Times New Roman"/>
                <w:color w:val="auto"/>
                <w:sz w:val="20"/>
                <w:szCs w:val="20"/>
              </w:rPr>
            </w:pPr>
            <w:bookmarkStart w:id="3" w:name="RANGE!F3"/>
            <w:r w:rsidRPr="00B56950">
              <w:rPr>
                <w:rFonts w:eastAsia="Times New Roman"/>
                <w:color w:val="auto"/>
                <w:sz w:val="20"/>
                <w:szCs w:val="20"/>
              </w:rPr>
              <w:t>en lits et places pour 1 000 habitants</w:t>
            </w:r>
            <w:bookmarkEnd w:id="3"/>
          </w:p>
        </w:tc>
      </w:tr>
      <w:tr w:rsidR="00B56950" w:rsidRPr="00B56950" w:rsidTr="00B56950">
        <w:trPr>
          <w:trHeight w:val="255"/>
        </w:trPr>
        <w:tc>
          <w:tcPr>
            <w:tcW w:w="2809" w:type="dxa"/>
            <w:vMerge w:val="restart"/>
            <w:tcBorders>
              <w:top w:val="nil"/>
              <w:left w:val="nil"/>
              <w:bottom w:val="nil"/>
              <w:right w:val="nil"/>
            </w:tcBorders>
            <w:shd w:val="clear" w:color="000000" w:fill="FFFFFF"/>
            <w:noWrap/>
            <w:vAlign w:val="center"/>
            <w:hideMark/>
          </w:tcPr>
          <w:p w:rsidR="00B56950" w:rsidRPr="00B56950" w:rsidRDefault="00B56950" w:rsidP="00B56950">
            <w:pPr>
              <w:spacing w:before="0" w:line="240" w:lineRule="auto"/>
              <w:jc w:val="left"/>
              <w:rPr>
                <w:rFonts w:eastAsia="Times New Roman"/>
                <w:i/>
                <w:iCs/>
                <w:color w:val="auto"/>
                <w:sz w:val="16"/>
                <w:szCs w:val="16"/>
              </w:rPr>
            </w:pPr>
            <w:bookmarkStart w:id="4" w:name="RANGE!A4:F5"/>
            <w:r w:rsidRPr="00B56950">
              <w:rPr>
                <w:rFonts w:eastAsia="Times New Roman"/>
                <w:i/>
                <w:iCs/>
                <w:color w:val="auto"/>
                <w:sz w:val="16"/>
                <w:szCs w:val="16"/>
              </w:rPr>
              <w:t> </w:t>
            </w:r>
            <w:bookmarkEnd w:id="4"/>
          </w:p>
        </w:tc>
        <w:tc>
          <w:tcPr>
            <w:tcW w:w="668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center"/>
              <w:rPr>
                <w:rFonts w:eastAsia="Times New Roman"/>
                <w:b/>
                <w:bCs/>
                <w:color w:val="auto"/>
                <w:sz w:val="20"/>
                <w:szCs w:val="20"/>
              </w:rPr>
            </w:pPr>
            <w:r w:rsidRPr="00B56950">
              <w:rPr>
                <w:rFonts w:eastAsia="Times New Roman"/>
                <w:b/>
                <w:bCs/>
                <w:color w:val="auto"/>
                <w:sz w:val="20"/>
                <w:szCs w:val="20"/>
              </w:rPr>
              <w:t xml:space="preserve">Au 1er janvier 2013 </w:t>
            </w:r>
          </w:p>
        </w:tc>
      </w:tr>
      <w:tr w:rsidR="00B56950" w:rsidRPr="00B56950" w:rsidTr="00B56950">
        <w:trPr>
          <w:trHeight w:val="795"/>
        </w:trPr>
        <w:tc>
          <w:tcPr>
            <w:tcW w:w="2809" w:type="dxa"/>
            <w:vMerge/>
            <w:tcBorders>
              <w:top w:val="nil"/>
              <w:left w:val="nil"/>
              <w:bottom w:val="nil"/>
              <w:right w:val="nil"/>
            </w:tcBorders>
            <w:vAlign w:val="center"/>
            <w:hideMark/>
          </w:tcPr>
          <w:p w:rsidR="00B56950" w:rsidRPr="00B56950" w:rsidRDefault="00B56950" w:rsidP="00B56950">
            <w:pPr>
              <w:spacing w:before="0" w:line="240" w:lineRule="auto"/>
              <w:jc w:val="left"/>
              <w:rPr>
                <w:rFonts w:eastAsia="Times New Roman"/>
                <w:i/>
                <w:iCs/>
                <w:color w:val="auto"/>
                <w:sz w:val="16"/>
                <w:szCs w:val="16"/>
              </w:rPr>
            </w:pPr>
          </w:p>
        </w:tc>
        <w:tc>
          <w:tcPr>
            <w:tcW w:w="956" w:type="dxa"/>
            <w:tcBorders>
              <w:top w:val="nil"/>
              <w:left w:val="single" w:sz="4" w:space="0" w:color="auto"/>
              <w:bottom w:val="single" w:sz="4" w:space="0" w:color="auto"/>
              <w:right w:val="single" w:sz="4" w:space="0" w:color="auto"/>
            </w:tcBorders>
            <w:shd w:val="clear" w:color="000000" w:fill="FFFFFF"/>
            <w:vAlign w:val="center"/>
            <w:hideMark/>
          </w:tcPr>
          <w:p w:rsidR="00B56950" w:rsidRPr="00B56950" w:rsidRDefault="00B56950" w:rsidP="00B56950">
            <w:pPr>
              <w:spacing w:before="0" w:line="240" w:lineRule="auto"/>
              <w:jc w:val="center"/>
              <w:rPr>
                <w:rFonts w:eastAsia="Times New Roman"/>
                <w:b/>
                <w:bCs/>
                <w:sz w:val="20"/>
                <w:szCs w:val="20"/>
              </w:rPr>
            </w:pPr>
            <w:r w:rsidRPr="00B56950">
              <w:rPr>
                <w:rFonts w:eastAsia="Times New Roman"/>
                <w:b/>
                <w:bCs/>
                <w:sz w:val="20"/>
                <w:szCs w:val="20"/>
              </w:rPr>
              <w:t>Doubs</w:t>
            </w:r>
          </w:p>
        </w:tc>
        <w:tc>
          <w:tcPr>
            <w:tcW w:w="957" w:type="dxa"/>
            <w:tcBorders>
              <w:top w:val="nil"/>
              <w:left w:val="nil"/>
              <w:bottom w:val="single" w:sz="4" w:space="0" w:color="auto"/>
              <w:right w:val="single" w:sz="4" w:space="0" w:color="auto"/>
            </w:tcBorders>
            <w:shd w:val="clear" w:color="000000" w:fill="FFFFFF"/>
            <w:vAlign w:val="center"/>
            <w:hideMark/>
          </w:tcPr>
          <w:p w:rsidR="00B56950" w:rsidRPr="00B56950" w:rsidRDefault="00B56950" w:rsidP="00B56950">
            <w:pPr>
              <w:spacing w:before="0" w:line="240" w:lineRule="auto"/>
              <w:jc w:val="center"/>
              <w:rPr>
                <w:rFonts w:eastAsia="Times New Roman"/>
                <w:b/>
                <w:bCs/>
                <w:sz w:val="20"/>
                <w:szCs w:val="20"/>
              </w:rPr>
            </w:pPr>
            <w:r w:rsidRPr="00B56950">
              <w:rPr>
                <w:rFonts w:eastAsia="Times New Roman"/>
                <w:b/>
                <w:bCs/>
                <w:sz w:val="20"/>
                <w:szCs w:val="20"/>
              </w:rPr>
              <w:t>Jura</w:t>
            </w:r>
          </w:p>
        </w:tc>
        <w:tc>
          <w:tcPr>
            <w:tcW w:w="957" w:type="dxa"/>
            <w:tcBorders>
              <w:top w:val="nil"/>
              <w:left w:val="nil"/>
              <w:bottom w:val="single" w:sz="4" w:space="0" w:color="auto"/>
              <w:right w:val="single" w:sz="4" w:space="0" w:color="auto"/>
            </w:tcBorders>
            <w:shd w:val="clear" w:color="000000" w:fill="FFFFFF"/>
            <w:vAlign w:val="center"/>
            <w:hideMark/>
          </w:tcPr>
          <w:p w:rsidR="00B56950" w:rsidRPr="00B56950" w:rsidRDefault="00B56950" w:rsidP="00B56950">
            <w:pPr>
              <w:spacing w:before="0" w:line="240" w:lineRule="auto"/>
              <w:jc w:val="center"/>
              <w:rPr>
                <w:rFonts w:eastAsia="Times New Roman"/>
                <w:b/>
                <w:bCs/>
                <w:sz w:val="20"/>
                <w:szCs w:val="20"/>
              </w:rPr>
            </w:pPr>
            <w:r w:rsidRPr="00B56950">
              <w:rPr>
                <w:rFonts w:eastAsia="Times New Roman"/>
                <w:b/>
                <w:bCs/>
                <w:sz w:val="20"/>
                <w:szCs w:val="20"/>
              </w:rPr>
              <w:t>Haute-Saône</w:t>
            </w:r>
          </w:p>
        </w:tc>
        <w:tc>
          <w:tcPr>
            <w:tcW w:w="1019" w:type="dxa"/>
            <w:tcBorders>
              <w:top w:val="nil"/>
              <w:left w:val="nil"/>
              <w:bottom w:val="single" w:sz="4" w:space="0" w:color="auto"/>
              <w:right w:val="single" w:sz="4" w:space="0" w:color="auto"/>
            </w:tcBorders>
            <w:shd w:val="clear" w:color="000000" w:fill="FFFFFF"/>
            <w:vAlign w:val="center"/>
            <w:hideMark/>
          </w:tcPr>
          <w:p w:rsidR="00B56950" w:rsidRPr="00B56950" w:rsidRDefault="00B56950" w:rsidP="00B56950">
            <w:pPr>
              <w:spacing w:before="0" w:line="240" w:lineRule="auto"/>
              <w:jc w:val="center"/>
              <w:rPr>
                <w:rFonts w:eastAsia="Times New Roman"/>
                <w:b/>
                <w:bCs/>
                <w:sz w:val="20"/>
                <w:szCs w:val="20"/>
              </w:rPr>
            </w:pPr>
            <w:r w:rsidRPr="00B56950">
              <w:rPr>
                <w:rFonts w:eastAsia="Times New Roman"/>
                <w:b/>
                <w:bCs/>
                <w:sz w:val="20"/>
                <w:szCs w:val="20"/>
              </w:rPr>
              <w:t>Territoire de Belfort</w:t>
            </w:r>
          </w:p>
        </w:tc>
        <w:tc>
          <w:tcPr>
            <w:tcW w:w="2800" w:type="dxa"/>
            <w:tcBorders>
              <w:top w:val="nil"/>
              <w:left w:val="nil"/>
              <w:bottom w:val="single" w:sz="4" w:space="0" w:color="auto"/>
              <w:right w:val="single" w:sz="4" w:space="0" w:color="auto"/>
            </w:tcBorders>
            <w:shd w:val="clear" w:color="000000" w:fill="FFFFFF"/>
            <w:vAlign w:val="center"/>
            <w:hideMark/>
          </w:tcPr>
          <w:p w:rsidR="00B56950" w:rsidRPr="00B56950" w:rsidRDefault="00B56950" w:rsidP="00B56950">
            <w:pPr>
              <w:spacing w:before="0" w:line="240" w:lineRule="auto"/>
              <w:jc w:val="center"/>
              <w:rPr>
                <w:rFonts w:eastAsia="Times New Roman"/>
                <w:b/>
                <w:bCs/>
                <w:color w:val="auto"/>
                <w:sz w:val="20"/>
                <w:szCs w:val="20"/>
              </w:rPr>
            </w:pPr>
            <w:r w:rsidRPr="00B56950">
              <w:rPr>
                <w:rFonts w:eastAsia="Times New Roman"/>
                <w:b/>
                <w:bCs/>
                <w:color w:val="auto"/>
                <w:sz w:val="20"/>
                <w:szCs w:val="20"/>
              </w:rPr>
              <w:t>Franche-Comté</w:t>
            </w:r>
          </w:p>
        </w:tc>
      </w:tr>
      <w:tr w:rsidR="00B56950" w:rsidRPr="00B56950" w:rsidTr="00B56950">
        <w:trPr>
          <w:trHeight w:val="300"/>
        </w:trPr>
        <w:tc>
          <w:tcPr>
            <w:tcW w:w="9498"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6950" w:rsidRPr="00B56950" w:rsidRDefault="00B56950" w:rsidP="00B56950">
            <w:pPr>
              <w:spacing w:before="0" w:line="240" w:lineRule="auto"/>
              <w:jc w:val="left"/>
              <w:rPr>
                <w:rFonts w:eastAsia="Times New Roman"/>
                <w:b/>
                <w:bCs/>
                <w:color w:val="auto"/>
                <w:sz w:val="20"/>
                <w:szCs w:val="20"/>
              </w:rPr>
            </w:pPr>
            <w:bookmarkStart w:id="5" w:name="RANGE!A6:A14"/>
            <w:r w:rsidRPr="00B56950">
              <w:rPr>
                <w:rFonts w:eastAsia="Times New Roman"/>
                <w:b/>
                <w:bCs/>
                <w:color w:val="auto"/>
                <w:sz w:val="20"/>
                <w:szCs w:val="20"/>
              </w:rPr>
              <w:t>Court séjour</w:t>
            </w:r>
            <w:bookmarkEnd w:id="5"/>
          </w:p>
        </w:tc>
      </w:tr>
      <w:tr w:rsidR="00B56950" w:rsidRPr="00B56950" w:rsidTr="00B56950">
        <w:trPr>
          <w:trHeight w:val="300"/>
        </w:trPr>
        <w:tc>
          <w:tcPr>
            <w:tcW w:w="2809" w:type="dxa"/>
            <w:tcBorders>
              <w:top w:val="nil"/>
              <w:left w:val="single" w:sz="4" w:space="0" w:color="auto"/>
              <w:bottom w:val="single" w:sz="4" w:space="0" w:color="auto"/>
              <w:right w:val="single" w:sz="4" w:space="0" w:color="auto"/>
            </w:tcBorders>
            <w:shd w:val="clear" w:color="000000" w:fill="FFFFFF"/>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xml:space="preserve">   Médecine</w:t>
            </w:r>
          </w:p>
        </w:tc>
        <w:tc>
          <w:tcPr>
            <w:tcW w:w="956"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1,9</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2,3</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1,7</w:t>
            </w:r>
          </w:p>
        </w:tc>
        <w:tc>
          <w:tcPr>
            <w:tcW w:w="1019"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4,1</w:t>
            </w:r>
          </w:p>
        </w:tc>
        <w:tc>
          <w:tcPr>
            <w:tcW w:w="2800"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b/>
                <w:bCs/>
                <w:sz w:val="20"/>
                <w:szCs w:val="20"/>
              </w:rPr>
            </w:pPr>
            <w:r w:rsidRPr="00B56950">
              <w:rPr>
                <w:rFonts w:eastAsia="Times New Roman"/>
                <w:b/>
                <w:bCs/>
                <w:sz w:val="20"/>
                <w:szCs w:val="20"/>
              </w:rPr>
              <w:t>2,2</w:t>
            </w:r>
          </w:p>
        </w:tc>
      </w:tr>
      <w:tr w:rsidR="00B56950" w:rsidRPr="00B56950" w:rsidTr="00B56950">
        <w:trPr>
          <w:trHeight w:val="300"/>
        </w:trPr>
        <w:tc>
          <w:tcPr>
            <w:tcW w:w="2809" w:type="dxa"/>
            <w:tcBorders>
              <w:top w:val="nil"/>
              <w:left w:val="single" w:sz="4" w:space="0" w:color="auto"/>
              <w:bottom w:val="single" w:sz="4" w:space="0" w:color="auto"/>
              <w:right w:val="single" w:sz="4" w:space="0" w:color="auto"/>
            </w:tcBorders>
            <w:shd w:val="clear" w:color="000000" w:fill="FFFFFF"/>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xml:space="preserve">   Chirurgie</w:t>
            </w:r>
          </w:p>
        </w:tc>
        <w:tc>
          <w:tcPr>
            <w:tcW w:w="956"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1,7</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1,0</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0,7</w:t>
            </w:r>
          </w:p>
        </w:tc>
        <w:tc>
          <w:tcPr>
            <w:tcW w:w="1019"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2,2</w:t>
            </w:r>
          </w:p>
        </w:tc>
        <w:tc>
          <w:tcPr>
            <w:tcW w:w="2800"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b/>
                <w:bCs/>
                <w:sz w:val="20"/>
                <w:szCs w:val="20"/>
              </w:rPr>
            </w:pPr>
            <w:r w:rsidRPr="00B56950">
              <w:rPr>
                <w:rFonts w:eastAsia="Times New Roman"/>
                <w:b/>
                <w:bCs/>
                <w:sz w:val="20"/>
                <w:szCs w:val="20"/>
              </w:rPr>
              <w:t>1,4</w:t>
            </w:r>
          </w:p>
        </w:tc>
      </w:tr>
      <w:tr w:rsidR="00B56950" w:rsidRPr="00B56950" w:rsidTr="00B56950">
        <w:trPr>
          <w:trHeight w:val="300"/>
        </w:trPr>
        <w:tc>
          <w:tcPr>
            <w:tcW w:w="2809" w:type="dxa"/>
            <w:tcBorders>
              <w:top w:val="nil"/>
              <w:left w:val="single" w:sz="4" w:space="0" w:color="auto"/>
              <w:bottom w:val="single" w:sz="4" w:space="0" w:color="auto"/>
              <w:right w:val="single" w:sz="4" w:space="0" w:color="auto"/>
            </w:tcBorders>
            <w:shd w:val="clear" w:color="000000" w:fill="FFFFFF"/>
            <w:noWrap/>
            <w:vAlign w:val="bottom"/>
            <w:hideMark/>
          </w:tcPr>
          <w:p w:rsidR="00B56950" w:rsidRPr="00B56950" w:rsidRDefault="00B56950" w:rsidP="00B56950">
            <w:pPr>
              <w:spacing w:before="0" w:line="240" w:lineRule="auto"/>
              <w:jc w:val="left"/>
              <w:rPr>
                <w:rFonts w:eastAsia="Times New Roman"/>
                <w:sz w:val="20"/>
                <w:szCs w:val="20"/>
              </w:rPr>
            </w:pPr>
            <w:r w:rsidRPr="00B56950">
              <w:rPr>
                <w:rFonts w:eastAsia="Times New Roman"/>
                <w:sz w:val="20"/>
                <w:szCs w:val="20"/>
              </w:rPr>
              <w:t xml:space="preserve">   Gynécologie-obstétrique (1)</w:t>
            </w:r>
          </w:p>
        </w:tc>
        <w:tc>
          <w:tcPr>
            <w:tcW w:w="956"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1,0</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0,9</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0,3</w:t>
            </w:r>
          </w:p>
        </w:tc>
        <w:tc>
          <w:tcPr>
            <w:tcW w:w="1019"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2,2</w:t>
            </w:r>
          </w:p>
        </w:tc>
        <w:tc>
          <w:tcPr>
            <w:tcW w:w="2800"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b/>
                <w:bCs/>
                <w:sz w:val="20"/>
                <w:szCs w:val="20"/>
              </w:rPr>
            </w:pPr>
            <w:r w:rsidRPr="00B56950">
              <w:rPr>
                <w:rFonts w:eastAsia="Times New Roman"/>
                <w:b/>
                <w:bCs/>
                <w:sz w:val="20"/>
                <w:szCs w:val="20"/>
              </w:rPr>
              <w:t>1,0</w:t>
            </w:r>
          </w:p>
        </w:tc>
      </w:tr>
      <w:tr w:rsidR="00B56950" w:rsidRPr="00B56950" w:rsidTr="00B56950">
        <w:trPr>
          <w:trHeight w:val="300"/>
        </w:trPr>
        <w:tc>
          <w:tcPr>
            <w:tcW w:w="9498"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56950" w:rsidRPr="00B56950" w:rsidRDefault="00B56950" w:rsidP="00B56950">
            <w:pPr>
              <w:spacing w:before="0" w:line="240" w:lineRule="auto"/>
              <w:jc w:val="left"/>
              <w:rPr>
                <w:rFonts w:eastAsia="Times New Roman"/>
                <w:b/>
                <w:bCs/>
                <w:color w:val="auto"/>
                <w:sz w:val="20"/>
                <w:szCs w:val="20"/>
              </w:rPr>
            </w:pPr>
            <w:r w:rsidRPr="00B56950">
              <w:rPr>
                <w:rFonts w:eastAsia="Times New Roman"/>
                <w:b/>
                <w:bCs/>
                <w:color w:val="auto"/>
                <w:sz w:val="20"/>
                <w:szCs w:val="20"/>
              </w:rPr>
              <w:t>Soins de suite et de réadaptation</w:t>
            </w:r>
          </w:p>
        </w:tc>
      </w:tr>
      <w:tr w:rsidR="00B56950" w:rsidRPr="00B56950" w:rsidTr="00B56950">
        <w:trPr>
          <w:trHeight w:val="300"/>
        </w:trPr>
        <w:tc>
          <w:tcPr>
            <w:tcW w:w="2809" w:type="dxa"/>
            <w:tcBorders>
              <w:top w:val="nil"/>
              <w:left w:val="single" w:sz="4" w:space="0" w:color="auto"/>
              <w:bottom w:val="single" w:sz="4" w:space="0" w:color="auto"/>
              <w:right w:val="single" w:sz="4" w:space="0" w:color="auto"/>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xml:space="preserve">   Équipement global</w:t>
            </w:r>
          </w:p>
        </w:tc>
        <w:tc>
          <w:tcPr>
            <w:tcW w:w="956"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1,1</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2,2</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1,7</w:t>
            </w:r>
          </w:p>
        </w:tc>
        <w:tc>
          <w:tcPr>
            <w:tcW w:w="1019"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1,8</w:t>
            </w:r>
          </w:p>
        </w:tc>
        <w:tc>
          <w:tcPr>
            <w:tcW w:w="2800"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b/>
                <w:bCs/>
                <w:sz w:val="20"/>
                <w:szCs w:val="20"/>
              </w:rPr>
            </w:pPr>
            <w:r w:rsidRPr="00B56950">
              <w:rPr>
                <w:rFonts w:eastAsia="Times New Roman"/>
                <w:b/>
                <w:bCs/>
                <w:sz w:val="20"/>
                <w:szCs w:val="20"/>
              </w:rPr>
              <w:t>1,6</w:t>
            </w:r>
          </w:p>
        </w:tc>
      </w:tr>
      <w:tr w:rsidR="00B56950" w:rsidRPr="00B56950" w:rsidTr="00B56950">
        <w:trPr>
          <w:trHeight w:val="255"/>
        </w:trPr>
        <w:tc>
          <w:tcPr>
            <w:tcW w:w="9498"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B56950" w:rsidRPr="00B56950" w:rsidRDefault="00B56950" w:rsidP="00B56950">
            <w:pPr>
              <w:spacing w:before="0" w:line="240" w:lineRule="auto"/>
              <w:jc w:val="left"/>
              <w:rPr>
                <w:rFonts w:eastAsia="Times New Roman"/>
                <w:b/>
                <w:bCs/>
                <w:color w:val="auto"/>
                <w:sz w:val="20"/>
                <w:szCs w:val="20"/>
              </w:rPr>
            </w:pPr>
            <w:r w:rsidRPr="00B56950">
              <w:rPr>
                <w:rFonts w:eastAsia="Times New Roman"/>
                <w:b/>
                <w:bCs/>
                <w:color w:val="auto"/>
                <w:sz w:val="20"/>
                <w:szCs w:val="20"/>
              </w:rPr>
              <w:t>Psychiatrie</w:t>
            </w:r>
          </w:p>
        </w:tc>
      </w:tr>
      <w:tr w:rsidR="00B56950" w:rsidRPr="00B56950" w:rsidTr="00B56950">
        <w:trPr>
          <w:trHeight w:val="255"/>
        </w:trPr>
        <w:tc>
          <w:tcPr>
            <w:tcW w:w="2809" w:type="dxa"/>
            <w:tcBorders>
              <w:top w:val="nil"/>
              <w:left w:val="single" w:sz="4" w:space="0" w:color="auto"/>
              <w:bottom w:val="single" w:sz="4" w:space="0" w:color="auto"/>
              <w:right w:val="single" w:sz="4" w:space="0" w:color="auto"/>
            </w:tcBorders>
            <w:shd w:val="clear" w:color="000000" w:fill="FFFFFF"/>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xml:space="preserve">   Infanto-juvénile (2) </w:t>
            </w:r>
          </w:p>
        </w:tc>
        <w:tc>
          <w:tcPr>
            <w:tcW w:w="956"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0,6</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1,6</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0,9</w:t>
            </w:r>
          </w:p>
        </w:tc>
        <w:tc>
          <w:tcPr>
            <w:tcW w:w="1019"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0,8</w:t>
            </w:r>
          </w:p>
        </w:tc>
        <w:tc>
          <w:tcPr>
            <w:tcW w:w="2800"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b/>
                <w:bCs/>
                <w:sz w:val="20"/>
                <w:szCs w:val="20"/>
              </w:rPr>
            </w:pPr>
            <w:r w:rsidRPr="00B56950">
              <w:rPr>
                <w:rFonts w:eastAsia="Times New Roman"/>
                <w:b/>
                <w:bCs/>
                <w:sz w:val="20"/>
                <w:szCs w:val="20"/>
              </w:rPr>
              <w:t>0,9</w:t>
            </w:r>
          </w:p>
        </w:tc>
      </w:tr>
      <w:tr w:rsidR="00B56950" w:rsidRPr="00B56950" w:rsidTr="00B56950">
        <w:trPr>
          <w:trHeight w:val="255"/>
        </w:trPr>
        <w:tc>
          <w:tcPr>
            <w:tcW w:w="2809" w:type="dxa"/>
            <w:tcBorders>
              <w:top w:val="nil"/>
              <w:left w:val="single" w:sz="4" w:space="0" w:color="auto"/>
              <w:bottom w:val="single" w:sz="4" w:space="0" w:color="auto"/>
              <w:right w:val="single" w:sz="4" w:space="0" w:color="auto"/>
            </w:tcBorders>
            <w:shd w:val="clear" w:color="000000" w:fill="FFFFFF"/>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xml:space="preserve">   Adulte</w:t>
            </w:r>
          </w:p>
        </w:tc>
        <w:tc>
          <w:tcPr>
            <w:tcW w:w="956"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1,1</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1,5</w:t>
            </w:r>
          </w:p>
        </w:tc>
        <w:tc>
          <w:tcPr>
            <w:tcW w:w="957"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2,5</w:t>
            </w:r>
          </w:p>
        </w:tc>
        <w:tc>
          <w:tcPr>
            <w:tcW w:w="1019"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sz w:val="20"/>
                <w:szCs w:val="20"/>
              </w:rPr>
            </w:pPr>
            <w:r w:rsidRPr="00B56950">
              <w:rPr>
                <w:rFonts w:eastAsia="Times New Roman"/>
                <w:sz w:val="20"/>
                <w:szCs w:val="20"/>
              </w:rPr>
              <w:t>1,0</w:t>
            </w:r>
          </w:p>
        </w:tc>
        <w:tc>
          <w:tcPr>
            <w:tcW w:w="2800" w:type="dxa"/>
            <w:tcBorders>
              <w:top w:val="nil"/>
              <w:left w:val="nil"/>
              <w:bottom w:val="single" w:sz="4" w:space="0" w:color="auto"/>
              <w:right w:val="single" w:sz="4" w:space="0" w:color="auto"/>
            </w:tcBorders>
            <w:shd w:val="clear" w:color="000000" w:fill="FFFFFF"/>
            <w:noWrap/>
            <w:vAlign w:val="center"/>
            <w:hideMark/>
          </w:tcPr>
          <w:p w:rsidR="00B56950" w:rsidRPr="00B56950" w:rsidRDefault="00B56950" w:rsidP="00B56950">
            <w:pPr>
              <w:spacing w:before="0" w:line="240" w:lineRule="auto"/>
              <w:jc w:val="right"/>
              <w:rPr>
                <w:rFonts w:eastAsia="Times New Roman"/>
                <w:b/>
                <w:bCs/>
                <w:sz w:val="20"/>
                <w:szCs w:val="20"/>
              </w:rPr>
            </w:pPr>
            <w:r w:rsidRPr="00B56950">
              <w:rPr>
                <w:rFonts w:eastAsia="Times New Roman"/>
                <w:b/>
                <w:bCs/>
                <w:sz w:val="20"/>
                <w:szCs w:val="20"/>
              </w:rPr>
              <w:t>1,5</w:t>
            </w:r>
          </w:p>
        </w:tc>
      </w:tr>
      <w:tr w:rsidR="00B56950" w:rsidRPr="00B56950" w:rsidTr="00B56950">
        <w:trPr>
          <w:trHeight w:val="255"/>
        </w:trPr>
        <w:tc>
          <w:tcPr>
            <w:tcW w:w="3765" w:type="dxa"/>
            <w:gridSpan w:val="2"/>
            <w:tcBorders>
              <w:top w:val="nil"/>
              <w:left w:val="nil"/>
              <w:bottom w:val="nil"/>
              <w:right w:val="nil"/>
            </w:tcBorders>
            <w:shd w:val="clear" w:color="000000" w:fill="FFFFFF"/>
            <w:noWrap/>
            <w:hideMark/>
          </w:tcPr>
          <w:p w:rsidR="00B56950" w:rsidRPr="00B56950" w:rsidRDefault="00B56950" w:rsidP="00B56950">
            <w:pPr>
              <w:spacing w:before="0" w:line="240" w:lineRule="auto"/>
              <w:jc w:val="left"/>
              <w:rPr>
                <w:rFonts w:eastAsia="Times New Roman"/>
                <w:color w:val="auto"/>
                <w:sz w:val="16"/>
                <w:szCs w:val="16"/>
              </w:rPr>
            </w:pPr>
            <w:bookmarkStart w:id="6" w:name="RANGE!A15:A16"/>
            <w:bookmarkStart w:id="7" w:name="RANGE!F6:F14"/>
            <w:bookmarkStart w:id="8" w:name="RANGE!B6:F14"/>
            <w:bookmarkEnd w:id="7"/>
            <w:bookmarkEnd w:id="8"/>
            <w:r w:rsidRPr="00B56950">
              <w:rPr>
                <w:rFonts w:eastAsia="Times New Roman"/>
                <w:color w:val="auto"/>
                <w:sz w:val="16"/>
                <w:szCs w:val="16"/>
              </w:rPr>
              <w:t>(1) : en lits et places pour 1 000 femmes de 15 ans et plus.</w:t>
            </w:r>
            <w:bookmarkEnd w:id="6"/>
          </w:p>
        </w:tc>
        <w:tc>
          <w:tcPr>
            <w:tcW w:w="957"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957"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1019"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2800"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r>
      <w:tr w:rsidR="00B56950" w:rsidRPr="00B56950" w:rsidTr="00B56950">
        <w:trPr>
          <w:trHeight w:val="255"/>
        </w:trPr>
        <w:tc>
          <w:tcPr>
            <w:tcW w:w="3765" w:type="dxa"/>
            <w:gridSpan w:val="2"/>
            <w:tcBorders>
              <w:top w:val="nil"/>
              <w:left w:val="nil"/>
              <w:bottom w:val="nil"/>
              <w:right w:val="nil"/>
            </w:tcBorders>
            <w:shd w:val="clear" w:color="000000" w:fill="FFFFFF"/>
            <w:noWrap/>
            <w:hideMark/>
          </w:tcPr>
          <w:p w:rsidR="00B56950" w:rsidRPr="00B56950" w:rsidRDefault="00B56950" w:rsidP="00B56950">
            <w:pPr>
              <w:spacing w:before="0" w:line="240" w:lineRule="auto"/>
              <w:jc w:val="left"/>
              <w:rPr>
                <w:rFonts w:eastAsia="Times New Roman"/>
                <w:color w:val="auto"/>
                <w:sz w:val="16"/>
                <w:szCs w:val="16"/>
              </w:rPr>
            </w:pPr>
            <w:r w:rsidRPr="00B56950">
              <w:rPr>
                <w:rFonts w:eastAsia="Times New Roman"/>
                <w:color w:val="auto"/>
                <w:sz w:val="16"/>
                <w:szCs w:val="16"/>
              </w:rPr>
              <w:t>(2) : en lits et places pour 1 000 enfants de 0 à 16 ans.</w:t>
            </w:r>
          </w:p>
        </w:tc>
        <w:tc>
          <w:tcPr>
            <w:tcW w:w="957"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957"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1019"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2800"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r>
      <w:tr w:rsidR="00B56950" w:rsidRPr="00B56950" w:rsidTr="00B56950">
        <w:trPr>
          <w:trHeight w:val="255"/>
        </w:trPr>
        <w:tc>
          <w:tcPr>
            <w:tcW w:w="5679" w:type="dxa"/>
            <w:gridSpan w:val="4"/>
            <w:tcBorders>
              <w:top w:val="nil"/>
              <w:left w:val="nil"/>
              <w:bottom w:val="nil"/>
              <w:right w:val="nil"/>
            </w:tcBorders>
            <w:shd w:val="clear" w:color="000000" w:fill="FFFFFF"/>
            <w:noWrap/>
            <w:hideMark/>
          </w:tcPr>
          <w:p w:rsidR="00B56950" w:rsidRPr="00B56950" w:rsidRDefault="00B56950" w:rsidP="00B56950">
            <w:pPr>
              <w:spacing w:before="0" w:line="240" w:lineRule="auto"/>
              <w:jc w:val="left"/>
              <w:rPr>
                <w:rFonts w:eastAsia="Times New Roman"/>
                <w:i/>
                <w:iCs/>
                <w:color w:val="auto"/>
                <w:sz w:val="16"/>
                <w:szCs w:val="16"/>
              </w:rPr>
            </w:pPr>
            <w:bookmarkStart w:id="9" w:name="RANGE!A17"/>
            <w:r w:rsidRPr="00B56950">
              <w:rPr>
                <w:rFonts w:eastAsia="Times New Roman"/>
                <w:i/>
                <w:iCs/>
                <w:color w:val="auto"/>
                <w:sz w:val="16"/>
                <w:szCs w:val="16"/>
              </w:rPr>
              <w:t>Sources : ARS et Drees, SAE; Insee, estimations de population au 1er janvier 2012.</w:t>
            </w:r>
            <w:bookmarkEnd w:id="9"/>
          </w:p>
        </w:tc>
        <w:tc>
          <w:tcPr>
            <w:tcW w:w="1019"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c>
          <w:tcPr>
            <w:tcW w:w="2800" w:type="dxa"/>
            <w:tcBorders>
              <w:top w:val="nil"/>
              <w:left w:val="nil"/>
              <w:bottom w:val="nil"/>
              <w:right w:val="nil"/>
            </w:tcBorders>
            <w:shd w:val="clear" w:color="000000" w:fill="FFFFFF"/>
            <w:noWrap/>
            <w:vAlign w:val="bottom"/>
            <w:hideMark/>
          </w:tcPr>
          <w:p w:rsidR="00B56950" w:rsidRPr="00B56950" w:rsidRDefault="00B56950" w:rsidP="00B56950">
            <w:pPr>
              <w:spacing w:before="0" w:line="240" w:lineRule="auto"/>
              <w:jc w:val="left"/>
              <w:rPr>
                <w:rFonts w:eastAsia="Times New Roman"/>
                <w:color w:val="auto"/>
                <w:sz w:val="20"/>
                <w:szCs w:val="20"/>
              </w:rPr>
            </w:pPr>
            <w:r w:rsidRPr="00B56950">
              <w:rPr>
                <w:rFonts w:eastAsia="Times New Roman"/>
                <w:color w:val="auto"/>
                <w:sz w:val="20"/>
                <w:szCs w:val="20"/>
              </w:rPr>
              <w:t> </w:t>
            </w:r>
          </w:p>
        </w:tc>
      </w:tr>
    </w:tbl>
    <w:p w:rsidR="00B56950" w:rsidRDefault="00B56950" w:rsidP="000F63C4">
      <w:r>
        <w:lastRenderedPageBreak/>
        <w:t xml:space="preserve">L’INSEE met à disposition le taux d’équipements en établissements de santé </w:t>
      </w:r>
      <w:r w:rsidR="00C87DD1">
        <w:t>du 1</w:t>
      </w:r>
      <w:r w:rsidR="00C87DD1" w:rsidRPr="00C87DD1">
        <w:rPr>
          <w:vertAlign w:val="superscript"/>
        </w:rPr>
        <w:t>er</w:t>
      </w:r>
      <w:r w:rsidR="00C87DD1">
        <w:t xml:space="preserve"> janvier 2008 au 1</w:t>
      </w:r>
      <w:r w:rsidR="00C87DD1" w:rsidRPr="00C87DD1">
        <w:rPr>
          <w:vertAlign w:val="superscript"/>
        </w:rPr>
        <w:t>er</w:t>
      </w:r>
      <w:r w:rsidR="00C87DD1">
        <w:t xml:space="preserve"> janvier 2013. </w:t>
      </w:r>
    </w:p>
    <w:p w:rsidR="00E475F2" w:rsidRDefault="00E80355" w:rsidP="00646D37">
      <w:r>
        <w:t>STATISS (Statistiques et indicateurs de la santé et du social) fournit l’ensemble des données essentielles à l’ARS à l’échelle régionale et Départementale. Elle présente l’ensemble de ses données datant du 1</w:t>
      </w:r>
      <w:r w:rsidRPr="00E80355">
        <w:rPr>
          <w:vertAlign w:val="superscript"/>
        </w:rPr>
        <w:t>er</w:t>
      </w:r>
      <w:r>
        <w:t xml:space="preserve"> janvier 2012 dans un document de synthèse disponible sur le serveur. Il recense les équipements de santé, leur nombre, leur activité, le nombre d’entrée journalière, le statu</w:t>
      </w:r>
      <w:r w:rsidR="00882FEC">
        <w:t>t de public ou privé, le nombre</w:t>
      </w:r>
      <w:r>
        <w:t xml:space="preserve"> de lits et de places, les indicateurs d’action sociale</w:t>
      </w:r>
      <w:r w:rsidR="00882FEC">
        <w:t xml:space="preserve">, concernant les personnels et professionnels de santé. </w:t>
      </w:r>
    </w:p>
    <w:p w:rsidR="00644D75" w:rsidRDefault="00644D75" w:rsidP="00646D37"/>
    <w:p w:rsidR="00644D75" w:rsidRDefault="00644D75" w:rsidP="00646D37">
      <w:pPr>
        <w:rPr>
          <w:rFonts w:asciiTheme="majorHAnsi" w:hAnsiTheme="majorHAnsi"/>
          <w:b/>
          <w:sz w:val="28"/>
          <w:szCs w:val="24"/>
        </w:rPr>
      </w:pPr>
      <w:r w:rsidRPr="00644D75">
        <w:rPr>
          <w:rFonts w:asciiTheme="majorHAnsi" w:hAnsiTheme="majorHAnsi"/>
          <w:b/>
          <w:sz w:val="28"/>
          <w:szCs w:val="24"/>
        </w:rPr>
        <w:t xml:space="preserve">Synthèse – Exemples d’enjeux </w:t>
      </w:r>
    </w:p>
    <w:p w:rsidR="00644D75" w:rsidRDefault="00644D75" w:rsidP="00646D37">
      <w:pPr>
        <w:rPr>
          <w:szCs w:val="24"/>
        </w:rPr>
      </w:pPr>
      <w:r>
        <w:rPr>
          <w:szCs w:val="24"/>
        </w:rPr>
        <w:t xml:space="preserve">Concernant les équipements et les services de santé de proximité, l’enjeu le plus fréquent va être d’attirer des jeunes médecins en aménageant par exemple une maison de santé, etc. Outre la question de l’aménagement pur, elle concerne avant tout une politique incitatrice. </w:t>
      </w:r>
    </w:p>
    <w:p w:rsidR="00644D75" w:rsidRDefault="00644D75" w:rsidP="00644D75">
      <w:pPr>
        <w:pStyle w:val="Paragraphedeliste"/>
        <w:numPr>
          <w:ilvl w:val="0"/>
          <w:numId w:val="5"/>
        </w:numPr>
        <w:rPr>
          <w:szCs w:val="24"/>
        </w:rPr>
      </w:pPr>
      <w:r>
        <w:rPr>
          <w:szCs w:val="24"/>
        </w:rPr>
        <w:t>La faible attractivité du territoire pour les médecins généralistes</w:t>
      </w:r>
    </w:p>
    <w:p w:rsidR="00644D75" w:rsidRDefault="00644D75" w:rsidP="00644D75">
      <w:pPr>
        <w:pStyle w:val="Paragraphedeliste"/>
        <w:numPr>
          <w:ilvl w:val="0"/>
          <w:numId w:val="5"/>
        </w:numPr>
        <w:rPr>
          <w:szCs w:val="24"/>
        </w:rPr>
      </w:pPr>
      <w:r>
        <w:rPr>
          <w:szCs w:val="24"/>
        </w:rPr>
        <w:t xml:space="preserve">Le faible nombre de structures de regroupement de professionnels de santé </w:t>
      </w:r>
    </w:p>
    <w:p w:rsidR="00644D75" w:rsidRPr="00644D75" w:rsidRDefault="00AF11E5" w:rsidP="00644D75">
      <w:pPr>
        <w:rPr>
          <w:szCs w:val="24"/>
        </w:rPr>
      </w:pPr>
      <w:r>
        <w:rPr>
          <w:szCs w:val="24"/>
        </w:rPr>
        <w:t>Ainsi, les locaux vacants, les mutations</w:t>
      </w:r>
      <w:bookmarkStart w:id="10" w:name="_GoBack"/>
      <w:bookmarkEnd w:id="10"/>
      <w:r>
        <w:rPr>
          <w:szCs w:val="24"/>
        </w:rPr>
        <w:t xml:space="preserve"> ou réhabilitations de bâtiments, les possibilités de mutualisations de locaux sont des potentiels qu’une commune peut utiliser pour proposer des infrastructures de santé de proximité. </w:t>
      </w:r>
    </w:p>
    <w:sectPr w:rsidR="00644D75" w:rsidRPr="00644D75" w:rsidSect="0074752C">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9AB" w:rsidRDefault="007E19AB" w:rsidP="007E19AB">
      <w:pPr>
        <w:spacing w:before="0" w:line="240" w:lineRule="auto"/>
      </w:pPr>
      <w:r>
        <w:separator/>
      </w:r>
    </w:p>
  </w:endnote>
  <w:endnote w:type="continuationSeparator" w:id="0">
    <w:p w:rsidR="007E19AB" w:rsidRDefault="007E19AB" w:rsidP="007E19A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147502"/>
      <w:docPartObj>
        <w:docPartGallery w:val="Page Numbers (Bottom of Page)"/>
        <w:docPartUnique/>
      </w:docPartObj>
    </w:sdtPr>
    <w:sdtContent>
      <w:p w:rsidR="00020E05" w:rsidRDefault="00020E05">
        <w:pPr>
          <w:pStyle w:val="Pieddepage"/>
          <w:jc w:val="right"/>
        </w:pPr>
        <w:r>
          <w:t xml:space="preserve">Page | </w:t>
        </w:r>
        <w:r>
          <w:fldChar w:fldCharType="begin"/>
        </w:r>
        <w:r>
          <w:instrText>PAGE   \* MERGEFORMAT</w:instrText>
        </w:r>
        <w:r>
          <w:fldChar w:fldCharType="separate"/>
        </w:r>
        <w:r w:rsidR="00AF11E5">
          <w:rPr>
            <w:noProof/>
          </w:rPr>
          <w:t>4</w:t>
        </w:r>
        <w:r>
          <w:fldChar w:fldCharType="end"/>
        </w:r>
        <w:r>
          <w:t xml:space="preserve"> </w:t>
        </w:r>
      </w:p>
    </w:sdtContent>
  </w:sdt>
  <w:p w:rsidR="00020E05" w:rsidRDefault="00020E0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9AB" w:rsidRDefault="007E19AB" w:rsidP="007E19AB">
      <w:pPr>
        <w:spacing w:before="0" w:line="240" w:lineRule="auto"/>
      </w:pPr>
      <w:r>
        <w:separator/>
      </w:r>
    </w:p>
  </w:footnote>
  <w:footnote w:type="continuationSeparator" w:id="0">
    <w:p w:rsidR="007E19AB" w:rsidRDefault="007E19AB" w:rsidP="007E19AB">
      <w:pPr>
        <w:spacing w:before="0" w:line="240" w:lineRule="auto"/>
      </w:pPr>
      <w:r>
        <w:continuationSeparator/>
      </w:r>
    </w:p>
  </w:footnote>
  <w:footnote w:id="1">
    <w:p w:rsidR="007E19AB" w:rsidRDefault="007E19AB">
      <w:pPr>
        <w:pStyle w:val="Notedebasdepage"/>
      </w:pPr>
      <w:r>
        <w:rPr>
          <w:rStyle w:val="Appelnotedebasdep"/>
        </w:rPr>
        <w:footnoteRef/>
      </w:r>
      <w:r>
        <w:t xml:space="preserve"> Disponible à cette adresse : </w:t>
      </w:r>
      <w:hyperlink r:id="rId1" w:history="1">
        <w:r w:rsidRPr="00AA3DFA">
          <w:rPr>
            <w:rStyle w:val="Lienhypertexte"/>
          </w:rPr>
          <w:t>http://www.ars.franche-comte.sante.fr/fileadmin/FRANCHE-COMTE/ARS_Internet/publications/PRS/2012-2016_PRS_COMPLET.pdf</w:t>
        </w:r>
      </w:hyperlink>
      <w:r>
        <w:t xml:space="preserve"> </w:t>
      </w:r>
    </w:p>
  </w:footnote>
  <w:footnote w:id="2">
    <w:p w:rsidR="00F62FA8" w:rsidRDefault="00F62FA8">
      <w:pPr>
        <w:pStyle w:val="Notedebasdepage"/>
      </w:pPr>
      <w:r>
        <w:rPr>
          <w:rStyle w:val="Appelnotedebasdep"/>
        </w:rPr>
        <w:footnoteRef/>
      </w:r>
      <w:r>
        <w:t xml:space="preserve"> Source : </w:t>
      </w:r>
      <w:hyperlink r:id="rId2" w:history="1">
        <w:r w:rsidRPr="002F071C">
          <w:rPr>
            <w:rStyle w:val="Lienhypertexte"/>
          </w:rPr>
          <w:t>http://www.drees.sante.gouv.fr/IMG/pdf/rir_2014_doc_partie_1-p01-55.pdf</w:t>
        </w:r>
      </w:hyperlink>
    </w:p>
  </w:footnote>
  <w:footnote w:id="3">
    <w:p w:rsidR="00B56950" w:rsidRDefault="00B56950">
      <w:pPr>
        <w:pStyle w:val="Notedebasdepage"/>
      </w:pPr>
      <w:r>
        <w:rPr>
          <w:rStyle w:val="Appelnotedebasdep"/>
        </w:rPr>
        <w:footnoteRef/>
      </w:r>
      <w:r>
        <w:t xml:space="preserve"> Disponible sur le site de l’INSEE, Thèmes Santé, Personnels et équipements de santé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5CC8"/>
    <w:multiLevelType w:val="hybridMultilevel"/>
    <w:tmpl w:val="878815CC"/>
    <w:lvl w:ilvl="0" w:tplc="BBDA15B8">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8568FA"/>
    <w:multiLevelType w:val="hybridMultilevel"/>
    <w:tmpl w:val="531A65DA"/>
    <w:lvl w:ilvl="0" w:tplc="885CA16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43D58F0"/>
    <w:multiLevelType w:val="hybridMultilevel"/>
    <w:tmpl w:val="9C42FE74"/>
    <w:lvl w:ilvl="0" w:tplc="B7584C68">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C995BB2"/>
    <w:multiLevelType w:val="hybridMultilevel"/>
    <w:tmpl w:val="2A4CF9F8"/>
    <w:lvl w:ilvl="0" w:tplc="E4E01C8C">
      <w:start w:val="27"/>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0645B73"/>
    <w:multiLevelType w:val="hybridMultilevel"/>
    <w:tmpl w:val="8B0CC872"/>
    <w:lvl w:ilvl="0" w:tplc="5B4CD5DA">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A20"/>
    <w:rsid w:val="00020E05"/>
    <w:rsid w:val="000501E9"/>
    <w:rsid w:val="000D7950"/>
    <w:rsid w:val="000F63C4"/>
    <w:rsid w:val="00127D23"/>
    <w:rsid w:val="0013068A"/>
    <w:rsid w:val="00233CB7"/>
    <w:rsid w:val="002F071C"/>
    <w:rsid w:val="003823B3"/>
    <w:rsid w:val="00394A20"/>
    <w:rsid w:val="003A6B52"/>
    <w:rsid w:val="004A1545"/>
    <w:rsid w:val="004E0694"/>
    <w:rsid w:val="005947AB"/>
    <w:rsid w:val="005F4BB2"/>
    <w:rsid w:val="00644D75"/>
    <w:rsid w:val="00646D37"/>
    <w:rsid w:val="0074752C"/>
    <w:rsid w:val="00756A41"/>
    <w:rsid w:val="007D3DF6"/>
    <w:rsid w:val="007E19AB"/>
    <w:rsid w:val="00821B30"/>
    <w:rsid w:val="00882FEC"/>
    <w:rsid w:val="009504DE"/>
    <w:rsid w:val="00A90A71"/>
    <w:rsid w:val="00AF11E5"/>
    <w:rsid w:val="00AF5050"/>
    <w:rsid w:val="00B34CEE"/>
    <w:rsid w:val="00B553E6"/>
    <w:rsid w:val="00B56950"/>
    <w:rsid w:val="00B748A1"/>
    <w:rsid w:val="00C87DD1"/>
    <w:rsid w:val="00D11DD7"/>
    <w:rsid w:val="00D62112"/>
    <w:rsid w:val="00E2654B"/>
    <w:rsid w:val="00E475F2"/>
    <w:rsid w:val="00E4776C"/>
    <w:rsid w:val="00E80355"/>
    <w:rsid w:val="00EF5922"/>
    <w:rsid w:val="00F37340"/>
    <w:rsid w:val="00F37369"/>
    <w:rsid w:val="00F62F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823B3"/>
    <w:pPr>
      <w:spacing w:before="120"/>
      <w:jc w:val="both"/>
    </w:pPr>
  </w:style>
  <w:style w:type="paragraph" w:styleId="Titre1">
    <w:name w:val="heading 1"/>
    <w:basedOn w:val="Normal"/>
    <w:next w:val="Normal"/>
    <w:link w:val="Titre1Car"/>
    <w:uiPriority w:val="9"/>
    <w:rsid w:val="000F63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504DE"/>
    <w:pPr>
      <w:spacing w:before="100" w:beforeAutospacing="1" w:after="100" w:afterAutospacing="1" w:line="240" w:lineRule="auto"/>
      <w:jc w:val="left"/>
    </w:pPr>
    <w:rPr>
      <w:rFonts w:ascii="Times New Roman" w:eastAsia="Times New Roman" w:hAnsi="Times New Roman" w:cs="Times New Roman"/>
      <w:color w:val="auto"/>
      <w:sz w:val="24"/>
      <w:szCs w:val="24"/>
    </w:rPr>
  </w:style>
  <w:style w:type="character" w:styleId="Lienhypertexte">
    <w:name w:val="Hyperlink"/>
    <w:basedOn w:val="Policepardfaut"/>
    <w:uiPriority w:val="99"/>
    <w:unhideWhenUsed/>
    <w:rsid w:val="009504DE"/>
    <w:rPr>
      <w:color w:val="0000FF"/>
      <w:u w:val="single"/>
    </w:rPr>
  </w:style>
  <w:style w:type="paragraph" w:styleId="Textedebulles">
    <w:name w:val="Balloon Text"/>
    <w:basedOn w:val="Normal"/>
    <w:link w:val="TextedebullesCar"/>
    <w:uiPriority w:val="99"/>
    <w:semiHidden/>
    <w:unhideWhenUsed/>
    <w:rsid w:val="009504DE"/>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504DE"/>
    <w:rPr>
      <w:rFonts w:ascii="Tahoma" w:hAnsi="Tahoma" w:cs="Tahoma"/>
      <w:sz w:val="16"/>
      <w:szCs w:val="16"/>
    </w:rPr>
  </w:style>
  <w:style w:type="paragraph" w:styleId="Paragraphedeliste">
    <w:name w:val="List Paragraph"/>
    <w:basedOn w:val="Normal"/>
    <w:uiPriority w:val="34"/>
    <w:qFormat/>
    <w:rsid w:val="00233CB7"/>
    <w:pPr>
      <w:ind w:left="720"/>
      <w:contextualSpacing/>
    </w:pPr>
  </w:style>
  <w:style w:type="table" w:styleId="Grilledutableau">
    <w:name w:val="Table Grid"/>
    <w:basedOn w:val="TableauNormal"/>
    <w:uiPriority w:val="59"/>
    <w:rsid w:val="00EF592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99"/>
    <w:unhideWhenUsed/>
    <w:rsid w:val="000F63C4"/>
    <w:rPr>
      <w:rFonts w:asciiTheme="majorHAnsi" w:eastAsiaTheme="majorEastAsia" w:hAnsiTheme="majorHAnsi" w:cstheme="majorBidi"/>
      <w:b/>
      <w:bCs/>
      <w:sz w:val="24"/>
      <w:szCs w:val="24"/>
    </w:rPr>
  </w:style>
  <w:style w:type="character" w:customStyle="1" w:styleId="Titre1Car">
    <w:name w:val="Titre 1 Car"/>
    <w:basedOn w:val="Policepardfaut"/>
    <w:link w:val="Titre1"/>
    <w:uiPriority w:val="9"/>
    <w:rsid w:val="000F63C4"/>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rsid w:val="000F63C4"/>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F63C4"/>
    <w:rPr>
      <w:rFonts w:asciiTheme="majorHAnsi" w:eastAsiaTheme="majorEastAsia" w:hAnsiTheme="majorHAnsi" w:cstheme="majorBidi"/>
      <w:color w:val="17365D" w:themeColor="text2" w:themeShade="BF"/>
      <w:spacing w:val="5"/>
      <w:kern w:val="28"/>
      <w:sz w:val="52"/>
      <w:szCs w:val="52"/>
    </w:rPr>
  </w:style>
  <w:style w:type="table" w:styleId="Listeclaire-Accent1">
    <w:name w:val="Light List Accent 1"/>
    <w:basedOn w:val="TableauNormal"/>
    <w:uiPriority w:val="61"/>
    <w:rsid w:val="0013068A"/>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moyenne1-Accent5">
    <w:name w:val="Medium Grid 1 Accent 5"/>
    <w:basedOn w:val="TableauNormal"/>
    <w:uiPriority w:val="67"/>
    <w:rsid w:val="00B553E6"/>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Lienhypertextesuivivisit">
    <w:name w:val="FollowedHyperlink"/>
    <w:basedOn w:val="Policepardfaut"/>
    <w:uiPriority w:val="99"/>
    <w:semiHidden/>
    <w:unhideWhenUsed/>
    <w:rsid w:val="000D7950"/>
    <w:rPr>
      <w:color w:val="800080" w:themeColor="followedHyperlink"/>
      <w:u w:val="single"/>
    </w:rPr>
  </w:style>
  <w:style w:type="paragraph" w:styleId="Notedebasdepage">
    <w:name w:val="footnote text"/>
    <w:basedOn w:val="Normal"/>
    <w:link w:val="NotedebasdepageCar"/>
    <w:uiPriority w:val="99"/>
    <w:semiHidden/>
    <w:unhideWhenUsed/>
    <w:rsid w:val="007E19AB"/>
    <w:pPr>
      <w:spacing w:before="0" w:line="240" w:lineRule="auto"/>
    </w:pPr>
    <w:rPr>
      <w:sz w:val="20"/>
      <w:szCs w:val="20"/>
    </w:rPr>
  </w:style>
  <w:style w:type="character" w:customStyle="1" w:styleId="NotedebasdepageCar">
    <w:name w:val="Note de bas de page Car"/>
    <w:basedOn w:val="Policepardfaut"/>
    <w:link w:val="Notedebasdepage"/>
    <w:uiPriority w:val="99"/>
    <w:semiHidden/>
    <w:rsid w:val="007E19AB"/>
    <w:rPr>
      <w:sz w:val="20"/>
      <w:szCs w:val="20"/>
    </w:rPr>
  </w:style>
  <w:style w:type="character" w:styleId="Appelnotedebasdep">
    <w:name w:val="footnote reference"/>
    <w:basedOn w:val="Policepardfaut"/>
    <w:uiPriority w:val="99"/>
    <w:semiHidden/>
    <w:unhideWhenUsed/>
    <w:rsid w:val="007E19AB"/>
    <w:rPr>
      <w:vertAlign w:val="superscript"/>
    </w:rPr>
  </w:style>
  <w:style w:type="paragraph" w:styleId="En-tte">
    <w:name w:val="header"/>
    <w:basedOn w:val="Normal"/>
    <w:link w:val="En-tteCar"/>
    <w:uiPriority w:val="99"/>
    <w:unhideWhenUsed/>
    <w:rsid w:val="00020E05"/>
    <w:pPr>
      <w:tabs>
        <w:tab w:val="center" w:pos="4536"/>
        <w:tab w:val="right" w:pos="9072"/>
      </w:tabs>
      <w:spacing w:before="0" w:line="240" w:lineRule="auto"/>
    </w:pPr>
  </w:style>
  <w:style w:type="character" w:customStyle="1" w:styleId="En-tteCar">
    <w:name w:val="En-tête Car"/>
    <w:basedOn w:val="Policepardfaut"/>
    <w:link w:val="En-tte"/>
    <w:uiPriority w:val="99"/>
    <w:rsid w:val="00020E05"/>
  </w:style>
  <w:style w:type="paragraph" w:styleId="Pieddepage">
    <w:name w:val="footer"/>
    <w:basedOn w:val="Normal"/>
    <w:link w:val="PieddepageCar"/>
    <w:uiPriority w:val="99"/>
    <w:unhideWhenUsed/>
    <w:rsid w:val="00020E0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020E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823B3"/>
    <w:pPr>
      <w:spacing w:before="120"/>
      <w:jc w:val="both"/>
    </w:pPr>
  </w:style>
  <w:style w:type="paragraph" w:styleId="Titre1">
    <w:name w:val="heading 1"/>
    <w:basedOn w:val="Normal"/>
    <w:next w:val="Normal"/>
    <w:link w:val="Titre1Car"/>
    <w:uiPriority w:val="9"/>
    <w:rsid w:val="000F63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504DE"/>
    <w:pPr>
      <w:spacing w:before="100" w:beforeAutospacing="1" w:after="100" w:afterAutospacing="1" w:line="240" w:lineRule="auto"/>
      <w:jc w:val="left"/>
    </w:pPr>
    <w:rPr>
      <w:rFonts w:ascii="Times New Roman" w:eastAsia="Times New Roman" w:hAnsi="Times New Roman" w:cs="Times New Roman"/>
      <w:color w:val="auto"/>
      <w:sz w:val="24"/>
      <w:szCs w:val="24"/>
    </w:rPr>
  </w:style>
  <w:style w:type="character" w:styleId="Lienhypertexte">
    <w:name w:val="Hyperlink"/>
    <w:basedOn w:val="Policepardfaut"/>
    <w:uiPriority w:val="99"/>
    <w:unhideWhenUsed/>
    <w:rsid w:val="009504DE"/>
    <w:rPr>
      <w:color w:val="0000FF"/>
      <w:u w:val="single"/>
    </w:rPr>
  </w:style>
  <w:style w:type="paragraph" w:styleId="Textedebulles">
    <w:name w:val="Balloon Text"/>
    <w:basedOn w:val="Normal"/>
    <w:link w:val="TextedebullesCar"/>
    <w:uiPriority w:val="99"/>
    <w:semiHidden/>
    <w:unhideWhenUsed/>
    <w:rsid w:val="009504DE"/>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504DE"/>
    <w:rPr>
      <w:rFonts w:ascii="Tahoma" w:hAnsi="Tahoma" w:cs="Tahoma"/>
      <w:sz w:val="16"/>
      <w:szCs w:val="16"/>
    </w:rPr>
  </w:style>
  <w:style w:type="paragraph" w:styleId="Paragraphedeliste">
    <w:name w:val="List Paragraph"/>
    <w:basedOn w:val="Normal"/>
    <w:uiPriority w:val="34"/>
    <w:qFormat/>
    <w:rsid w:val="00233CB7"/>
    <w:pPr>
      <w:ind w:left="720"/>
      <w:contextualSpacing/>
    </w:pPr>
  </w:style>
  <w:style w:type="table" w:styleId="Grilledutableau">
    <w:name w:val="Table Grid"/>
    <w:basedOn w:val="TableauNormal"/>
    <w:uiPriority w:val="59"/>
    <w:rsid w:val="00EF592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99"/>
    <w:unhideWhenUsed/>
    <w:rsid w:val="000F63C4"/>
    <w:rPr>
      <w:rFonts w:asciiTheme="majorHAnsi" w:eastAsiaTheme="majorEastAsia" w:hAnsiTheme="majorHAnsi" w:cstheme="majorBidi"/>
      <w:b/>
      <w:bCs/>
      <w:sz w:val="24"/>
      <w:szCs w:val="24"/>
    </w:rPr>
  </w:style>
  <w:style w:type="character" w:customStyle="1" w:styleId="Titre1Car">
    <w:name w:val="Titre 1 Car"/>
    <w:basedOn w:val="Policepardfaut"/>
    <w:link w:val="Titre1"/>
    <w:uiPriority w:val="9"/>
    <w:rsid w:val="000F63C4"/>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rsid w:val="000F63C4"/>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F63C4"/>
    <w:rPr>
      <w:rFonts w:asciiTheme="majorHAnsi" w:eastAsiaTheme="majorEastAsia" w:hAnsiTheme="majorHAnsi" w:cstheme="majorBidi"/>
      <w:color w:val="17365D" w:themeColor="text2" w:themeShade="BF"/>
      <w:spacing w:val="5"/>
      <w:kern w:val="28"/>
      <w:sz w:val="52"/>
      <w:szCs w:val="52"/>
    </w:rPr>
  </w:style>
  <w:style w:type="table" w:styleId="Listeclaire-Accent1">
    <w:name w:val="Light List Accent 1"/>
    <w:basedOn w:val="TableauNormal"/>
    <w:uiPriority w:val="61"/>
    <w:rsid w:val="0013068A"/>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moyenne1-Accent5">
    <w:name w:val="Medium Grid 1 Accent 5"/>
    <w:basedOn w:val="TableauNormal"/>
    <w:uiPriority w:val="67"/>
    <w:rsid w:val="00B553E6"/>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Lienhypertextesuivivisit">
    <w:name w:val="FollowedHyperlink"/>
    <w:basedOn w:val="Policepardfaut"/>
    <w:uiPriority w:val="99"/>
    <w:semiHidden/>
    <w:unhideWhenUsed/>
    <w:rsid w:val="000D7950"/>
    <w:rPr>
      <w:color w:val="800080" w:themeColor="followedHyperlink"/>
      <w:u w:val="single"/>
    </w:rPr>
  </w:style>
  <w:style w:type="paragraph" w:styleId="Notedebasdepage">
    <w:name w:val="footnote text"/>
    <w:basedOn w:val="Normal"/>
    <w:link w:val="NotedebasdepageCar"/>
    <w:uiPriority w:val="99"/>
    <w:semiHidden/>
    <w:unhideWhenUsed/>
    <w:rsid w:val="007E19AB"/>
    <w:pPr>
      <w:spacing w:before="0" w:line="240" w:lineRule="auto"/>
    </w:pPr>
    <w:rPr>
      <w:sz w:val="20"/>
      <w:szCs w:val="20"/>
    </w:rPr>
  </w:style>
  <w:style w:type="character" w:customStyle="1" w:styleId="NotedebasdepageCar">
    <w:name w:val="Note de bas de page Car"/>
    <w:basedOn w:val="Policepardfaut"/>
    <w:link w:val="Notedebasdepage"/>
    <w:uiPriority w:val="99"/>
    <w:semiHidden/>
    <w:rsid w:val="007E19AB"/>
    <w:rPr>
      <w:sz w:val="20"/>
      <w:szCs w:val="20"/>
    </w:rPr>
  </w:style>
  <w:style w:type="character" w:styleId="Appelnotedebasdep">
    <w:name w:val="footnote reference"/>
    <w:basedOn w:val="Policepardfaut"/>
    <w:uiPriority w:val="99"/>
    <w:semiHidden/>
    <w:unhideWhenUsed/>
    <w:rsid w:val="007E19AB"/>
    <w:rPr>
      <w:vertAlign w:val="superscript"/>
    </w:rPr>
  </w:style>
  <w:style w:type="paragraph" w:styleId="En-tte">
    <w:name w:val="header"/>
    <w:basedOn w:val="Normal"/>
    <w:link w:val="En-tteCar"/>
    <w:uiPriority w:val="99"/>
    <w:unhideWhenUsed/>
    <w:rsid w:val="00020E05"/>
    <w:pPr>
      <w:tabs>
        <w:tab w:val="center" w:pos="4536"/>
        <w:tab w:val="right" w:pos="9072"/>
      </w:tabs>
      <w:spacing w:before="0" w:line="240" w:lineRule="auto"/>
    </w:pPr>
  </w:style>
  <w:style w:type="character" w:customStyle="1" w:styleId="En-tteCar">
    <w:name w:val="En-tête Car"/>
    <w:basedOn w:val="Policepardfaut"/>
    <w:link w:val="En-tte"/>
    <w:uiPriority w:val="99"/>
    <w:rsid w:val="00020E05"/>
  </w:style>
  <w:style w:type="paragraph" w:styleId="Pieddepage">
    <w:name w:val="footer"/>
    <w:basedOn w:val="Normal"/>
    <w:link w:val="PieddepageCar"/>
    <w:uiPriority w:val="99"/>
    <w:unhideWhenUsed/>
    <w:rsid w:val="00020E0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020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00208">
      <w:bodyDiv w:val="1"/>
      <w:marLeft w:val="0"/>
      <w:marRight w:val="0"/>
      <w:marTop w:val="0"/>
      <w:marBottom w:val="0"/>
      <w:divBdr>
        <w:top w:val="none" w:sz="0" w:space="0" w:color="auto"/>
        <w:left w:val="none" w:sz="0" w:space="0" w:color="auto"/>
        <w:bottom w:val="none" w:sz="0" w:space="0" w:color="auto"/>
        <w:right w:val="none" w:sz="0" w:space="0" w:color="auto"/>
      </w:divBdr>
    </w:div>
    <w:div w:id="154608780">
      <w:bodyDiv w:val="1"/>
      <w:marLeft w:val="0"/>
      <w:marRight w:val="0"/>
      <w:marTop w:val="0"/>
      <w:marBottom w:val="0"/>
      <w:divBdr>
        <w:top w:val="none" w:sz="0" w:space="0" w:color="auto"/>
        <w:left w:val="none" w:sz="0" w:space="0" w:color="auto"/>
        <w:bottom w:val="none" w:sz="0" w:space="0" w:color="auto"/>
        <w:right w:val="none" w:sz="0" w:space="0" w:color="auto"/>
      </w:divBdr>
    </w:div>
    <w:div w:id="396821803">
      <w:bodyDiv w:val="1"/>
      <w:marLeft w:val="0"/>
      <w:marRight w:val="0"/>
      <w:marTop w:val="0"/>
      <w:marBottom w:val="0"/>
      <w:divBdr>
        <w:top w:val="none" w:sz="0" w:space="0" w:color="auto"/>
        <w:left w:val="none" w:sz="0" w:space="0" w:color="auto"/>
        <w:bottom w:val="none" w:sz="0" w:space="0" w:color="auto"/>
        <w:right w:val="none" w:sz="0" w:space="0" w:color="auto"/>
      </w:divBdr>
    </w:div>
    <w:div w:id="539513943">
      <w:bodyDiv w:val="1"/>
      <w:marLeft w:val="0"/>
      <w:marRight w:val="0"/>
      <w:marTop w:val="0"/>
      <w:marBottom w:val="0"/>
      <w:divBdr>
        <w:top w:val="none" w:sz="0" w:space="0" w:color="auto"/>
        <w:left w:val="none" w:sz="0" w:space="0" w:color="auto"/>
        <w:bottom w:val="none" w:sz="0" w:space="0" w:color="auto"/>
        <w:right w:val="none" w:sz="0" w:space="0" w:color="auto"/>
      </w:divBdr>
    </w:div>
    <w:div w:id="159640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drees.sante.gouv.fr/IMG/pdf/rir_2014_doc_partie_1-p01-55.pdf" TargetMode="External"/><Relationship Id="rId1" Type="http://schemas.openxmlformats.org/officeDocument/2006/relationships/hyperlink" Target="http://www.ars.franche-comte.sante.fr/fileadmin/FRANCHE-COMTE/ARS_Internet/publications/PRS/2012-2016_PRS_COMPLET.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E1EA8-70FB-4F9E-937D-1908844D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4</Pages>
  <Words>1087</Words>
  <Characters>5981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Christ</dc:creator>
  <cp:keywords/>
  <dc:description/>
  <cp:lastModifiedBy>Sophie Christ</cp:lastModifiedBy>
  <cp:revision>13</cp:revision>
  <dcterms:created xsi:type="dcterms:W3CDTF">2015-04-23T07:37:00Z</dcterms:created>
  <dcterms:modified xsi:type="dcterms:W3CDTF">2015-07-22T12:53:00Z</dcterms:modified>
</cp:coreProperties>
</file>